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8C50B" w14:textId="77777777" w:rsidR="00C83641" w:rsidRPr="00C83641" w:rsidRDefault="00C83641" w:rsidP="00C836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bookmarkStart w:id="0" w:name="_GoBack"/>
      <w:bookmarkEnd w:id="0"/>
    </w:p>
    <w:p w14:paraId="503B34CC" w14:textId="0C2A2D50" w:rsidR="00FF6FDD" w:rsidRPr="009850DE" w:rsidRDefault="00C83641" w:rsidP="00C83641">
      <w:pPr>
        <w:spacing w:after="0" w:line="240" w:lineRule="auto"/>
        <w:jc w:val="center"/>
        <w:rPr>
          <w:b/>
          <w:caps/>
        </w:rPr>
      </w:pPr>
      <w:r w:rsidRPr="00C83641">
        <w:rPr>
          <w:rFonts w:ascii="Tahoma" w:hAnsi="Tahoma" w:cs="Tahoma"/>
          <w:b/>
          <w:bCs/>
          <w:color w:val="000000"/>
          <w:sz w:val="20"/>
          <w:szCs w:val="20"/>
        </w:rPr>
        <w:t xml:space="preserve">Рекомендации Экспертного совета ФАС России по развитию конкуренции в сфере розничной торговли </w:t>
      </w:r>
      <w:r w:rsidR="00DE7C13">
        <w:rPr>
          <w:rFonts w:ascii="Tahoma" w:hAnsi="Tahoma" w:cs="Tahoma"/>
          <w:b/>
          <w:bCs/>
          <w:color w:val="000000"/>
          <w:sz w:val="20"/>
          <w:szCs w:val="20"/>
        </w:rPr>
        <w:t>«О ценовой координации»</w:t>
      </w:r>
    </w:p>
    <w:p w14:paraId="31FF192E" w14:textId="77777777" w:rsidR="00C73F33" w:rsidRDefault="00C73F33" w:rsidP="00C73F33">
      <w:pPr>
        <w:spacing w:after="0" w:line="240" w:lineRule="auto"/>
        <w:jc w:val="both"/>
      </w:pPr>
    </w:p>
    <w:p w14:paraId="3479C8C3" w14:textId="057B6F67" w:rsidR="009850DE" w:rsidRDefault="009850DE" w:rsidP="00DE7C13">
      <w:pPr>
        <w:spacing w:after="0" w:line="240" w:lineRule="auto"/>
        <w:jc w:val="both"/>
      </w:pPr>
      <w:r w:rsidRPr="009850DE">
        <w:t xml:space="preserve">Настоящие </w:t>
      </w:r>
      <w:r w:rsidR="00846105">
        <w:t>Р</w:t>
      </w:r>
      <w:r w:rsidR="001E6B28">
        <w:t>екомендации</w:t>
      </w:r>
      <w:r w:rsidRPr="009850DE">
        <w:t xml:space="preserve"> подготовлены </w:t>
      </w:r>
      <w:r w:rsidR="00331277">
        <w:t xml:space="preserve">по результатам изучения и обобщения практики </w:t>
      </w:r>
      <w:r w:rsidR="00331277" w:rsidRPr="009850DE">
        <w:t xml:space="preserve">применения </w:t>
      </w:r>
      <w:r w:rsidR="00331277">
        <w:t xml:space="preserve">антимонопольными органами </w:t>
      </w:r>
      <w:r w:rsidR="00855084" w:rsidRPr="00F8121E">
        <w:t>Федеральн</w:t>
      </w:r>
      <w:r w:rsidR="00855084">
        <w:t>ого</w:t>
      </w:r>
      <w:r w:rsidR="00855084" w:rsidRPr="00F8121E">
        <w:t xml:space="preserve"> закон</w:t>
      </w:r>
      <w:r w:rsidR="00855084">
        <w:t>а</w:t>
      </w:r>
      <w:r w:rsidR="00855084" w:rsidRPr="00F8121E">
        <w:t xml:space="preserve"> от 26.07.2006 № 135-ФЗ «О защите конкуренции» (далее – </w:t>
      </w:r>
      <w:r w:rsidR="00855084">
        <w:t>«</w:t>
      </w:r>
      <w:r w:rsidR="00855084" w:rsidRPr="00846105">
        <w:rPr>
          <w:b/>
          <w:bCs/>
        </w:rPr>
        <w:t>Закон о защите конкуренции</w:t>
      </w:r>
      <w:r w:rsidR="00855084">
        <w:t>»</w:t>
      </w:r>
      <w:r w:rsidR="00855084" w:rsidRPr="00F8121E">
        <w:t>)</w:t>
      </w:r>
      <w:r w:rsidR="00855084">
        <w:t xml:space="preserve"> </w:t>
      </w:r>
      <w:r w:rsidR="00331277">
        <w:t xml:space="preserve">по делам о </w:t>
      </w:r>
      <w:r w:rsidR="0075167E">
        <w:t>Ц</w:t>
      </w:r>
      <w:r w:rsidR="00331277">
        <w:t xml:space="preserve">еновой координации </w:t>
      </w:r>
      <w:r w:rsidR="0075167E">
        <w:t>(</w:t>
      </w:r>
      <w:r w:rsidR="00331277">
        <w:t>как она будет определена ниже</w:t>
      </w:r>
      <w:r w:rsidR="0075167E" w:rsidRPr="0075167E">
        <w:t>)</w:t>
      </w:r>
      <w:r w:rsidR="00331277">
        <w:t xml:space="preserve"> на рынках потребительских товаров, </w:t>
      </w:r>
      <w:r w:rsidR="00031673">
        <w:t>для</w:t>
      </w:r>
      <w:r w:rsidR="00331277">
        <w:t xml:space="preserve"> </w:t>
      </w:r>
      <w:r w:rsidRPr="009850DE">
        <w:t>обеспечения единообразия практики</w:t>
      </w:r>
      <w:r w:rsidR="00331277">
        <w:t xml:space="preserve"> применения </w:t>
      </w:r>
      <w:r w:rsidR="00331277" w:rsidRPr="009850DE">
        <w:t>антимонопольного законодательства</w:t>
      </w:r>
      <w:r w:rsidR="009C2C63">
        <w:t>.</w:t>
      </w:r>
    </w:p>
    <w:p w14:paraId="60CD84F2" w14:textId="77777777" w:rsidR="00844184" w:rsidRPr="009C2C63" w:rsidRDefault="00844184" w:rsidP="00C73F33">
      <w:pPr>
        <w:spacing w:after="0" w:line="240" w:lineRule="auto"/>
        <w:jc w:val="both"/>
      </w:pPr>
    </w:p>
    <w:p w14:paraId="78BE864C" w14:textId="77777777" w:rsidR="000078A6" w:rsidRPr="00867E57" w:rsidRDefault="000078A6" w:rsidP="00C73F33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b/>
          <w:caps/>
        </w:rPr>
      </w:pPr>
      <w:r w:rsidRPr="00867E57">
        <w:rPr>
          <w:b/>
          <w:caps/>
        </w:rPr>
        <w:t>Определения</w:t>
      </w:r>
    </w:p>
    <w:p w14:paraId="45209993" w14:textId="77777777" w:rsidR="00C73F33" w:rsidRDefault="00C73F33" w:rsidP="00C73F33">
      <w:pPr>
        <w:spacing w:after="0" w:line="240" w:lineRule="auto"/>
        <w:jc w:val="both"/>
      </w:pPr>
    </w:p>
    <w:p w14:paraId="4032F736" w14:textId="065C3C95" w:rsidR="000078A6" w:rsidRDefault="004A40B1" w:rsidP="00AA2715">
      <w:pPr>
        <w:spacing w:after="0" w:line="240" w:lineRule="auto"/>
        <w:jc w:val="both"/>
      </w:pPr>
      <w:r>
        <w:t xml:space="preserve">Используемые в настоящих разъяснениях определения </w:t>
      </w:r>
      <w:r w:rsidR="00831BE9">
        <w:t>имеют</w:t>
      </w:r>
      <w:r>
        <w:t xml:space="preserve"> </w:t>
      </w:r>
      <w:r w:rsidR="002B1782">
        <w:t xml:space="preserve">следующие </w:t>
      </w:r>
      <w:r>
        <w:t>значения</w:t>
      </w:r>
      <w:r w:rsidR="002B1782">
        <w:t>:</w:t>
      </w:r>
      <w:r w:rsidR="000078A6" w:rsidRPr="00F435B2">
        <w:t xml:space="preserve"> </w:t>
      </w:r>
    </w:p>
    <w:p w14:paraId="19A3D5BF" w14:textId="77777777" w:rsidR="00C73F33" w:rsidRPr="00F435B2" w:rsidRDefault="00C73F33" w:rsidP="00AA2715">
      <w:pPr>
        <w:spacing w:after="0" w:line="240" w:lineRule="auto"/>
        <w:jc w:val="both"/>
      </w:pPr>
    </w:p>
    <w:p w14:paraId="0F24B682" w14:textId="23524928" w:rsidR="000078A6" w:rsidRPr="00F435B2" w:rsidRDefault="000078A6" w:rsidP="00AA2715">
      <w:pPr>
        <w:pStyle w:val="a3"/>
        <w:spacing w:after="0" w:line="240" w:lineRule="auto"/>
        <w:ind w:left="0"/>
        <w:contextualSpacing w:val="0"/>
        <w:jc w:val="both"/>
      </w:pPr>
      <w:r w:rsidRPr="00F435B2">
        <w:rPr>
          <w:b/>
        </w:rPr>
        <w:t>Дистрибьютор</w:t>
      </w:r>
      <w:r w:rsidRPr="00F435B2">
        <w:t xml:space="preserve"> – хозяйствующий субъект,</w:t>
      </w:r>
      <w:r w:rsidR="00A224F7">
        <w:t xml:space="preserve"> </w:t>
      </w:r>
      <w:r w:rsidR="004641FE">
        <w:t xml:space="preserve">с которым у </w:t>
      </w:r>
      <w:r w:rsidR="0076551D">
        <w:t>Поставщика</w:t>
      </w:r>
      <w:r w:rsidR="004641FE">
        <w:t xml:space="preserve"> заключен договор поставки или купли-продажи продукции</w:t>
      </w:r>
      <w:r w:rsidR="004641FE" w:rsidRPr="004641FE">
        <w:t>,</w:t>
      </w:r>
      <w:r w:rsidR="004641FE">
        <w:t xml:space="preserve"> </w:t>
      </w:r>
      <w:r w:rsidR="00A224F7">
        <w:t xml:space="preserve">не входящий с </w:t>
      </w:r>
      <w:r w:rsidR="0076551D">
        <w:t>Поставщиком</w:t>
      </w:r>
      <w:r w:rsidR="00A224F7">
        <w:t xml:space="preserve"> в одну группу лиц и</w:t>
      </w:r>
      <w:r w:rsidRPr="00F435B2">
        <w:t xml:space="preserve"> осуществляющий оптовую торговлю товарами</w:t>
      </w:r>
      <w:r w:rsidR="00E7043D">
        <w:t xml:space="preserve"> в том числе в адрес Реселлеров</w:t>
      </w:r>
      <w:r w:rsidR="00FC6C78" w:rsidRPr="00FC6C78">
        <w:t xml:space="preserve"> </w:t>
      </w:r>
      <w:r w:rsidR="00FC6C78">
        <w:t>в качестве основного вида предпринимательской деятельности</w:t>
      </w:r>
      <w:r w:rsidRPr="00F435B2">
        <w:t>.</w:t>
      </w:r>
    </w:p>
    <w:p w14:paraId="2092A52B" w14:textId="51DF4E74" w:rsidR="00C73F33" w:rsidRPr="00BC6235" w:rsidRDefault="00C73F33" w:rsidP="00AA271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7ED18EE7" w14:textId="32FC10D3" w:rsidR="00BC6235" w:rsidRPr="00BC6235" w:rsidRDefault="00BC6235" w:rsidP="00AA271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C6235">
        <w:rPr>
          <w:rFonts w:asciiTheme="minorHAnsi" w:hAnsiTheme="minorHAnsi" w:cstheme="minorBidi"/>
          <w:b/>
          <w:color w:val="auto"/>
          <w:sz w:val="22"/>
          <w:szCs w:val="22"/>
        </w:rPr>
        <w:t>Конечный потребитель</w:t>
      </w:r>
      <w:r w:rsidRPr="00BC6235">
        <w:rPr>
          <w:rFonts w:asciiTheme="minorHAnsi" w:hAnsiTheme="minorHAnsi" w:cstheme="minorBidi"/>
          <w:color w:val="auto"/>
          <w:sz w:val="22"/>
          <w:szCs w:val="22"/>
        </w:rPr>
        <w:t xml:space="preserve"> – физическое или юридическое лицо, приобретающее товар для использования </w:t>
      </w:r>
      <w:r w:rsidR="005865D1">
        <w:rPr>
          <w:rFonts w:asciiTheme="minorHAnsi" w:hAnsiTheme="minorHAnsi" w:cstheme="minorBidi"/>
          <w:color w:val="auto"/>
          <w:sz w:val="22"/>
          <w:szCs w:val="22"/>
        </w:rPr>
        <w:t xml:space="preserve">в </w:t>
      </w:r>
      <w:r w:rsidRPr="00BC6235">
        <w:rPr>
          <w:rFonts w:asciiTheme="minorHAnsi" w:hAnsiTheme="minorHAnsi" w:cstheme="minorBidi"/>
          <w:color w:val="auto"/>
          <w:sz w:val="22"/>
          <w:szCs w:val="22"/>
        </w:rPr>
        <w:t>личных цел</w:t>
      </w:r>
      <w:r w:rsidR="005865D1">
        <w:rPr>
          <w:rFonts w:asciiTheme="minorHAnsi" w:hAnsiTheme="minorHAnsi" w:cstheme="minorBidi"/>
          <w:color w:val="auto"/>
          <w:sz w:val="22"/>
          <w:szCs w:val="22"/>
        </w:rPr>
        <w:t>ях</w:t>
      </w:r>
      <w:r w:rsidRPr="00BC6235">
        <w:rPr>
          <w:rFonts w:asciiTheme="minorHAnsi" w:hAnsiTheme="minorHAnsi" w:cstheme="minorBidi"/>
          <w:color w:val="auto"/>
          <w:sz w:val="22"/>
          <w:szCs w:val="22"/>
        </w:rPr>
        <w:t>, не связанных с предпринимательской деятельностью, или использования в процессе хозяйственной деятельности любым способом, за исключением дальнейшей перепродажи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49248481" w14:textId="77777777" w:rsidR="00BC6235" w:rsidRDefault="00BC6235" w:rsidP="00AA2715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14:paraId="38A83F09" w14:textId="39F6FD35" w:rsidR="00F30E39" w:rsidRDefault="00F30E39" w:rsidP="00AA2715">
      <w:pPr>
        <w:pStyle w:val="a3"/>
        <w:spacing w:after="0" w:line="240" w:lineRule="auto"/>
        <w:ind w:left="0"/>
        <w:contextualSpacing w:val="0"/>
        <w:jc w:val="both"/>
      </w:pPr>
      <w:r w:rsidRPr="00F45645">
        <w:rPr>
          <w:b/>
        </w:rPr>
        <w:t>Мониторинг розничных цен</w:t>
      </w:r>
      <w:r>
        <w:t xml:space="preserve"> </w:t>
      </w:r>
      <w:r w:rsidRPr="00F435B2">
        <w:t>–</w:t>
      </w:r>
      <w:r>
        <w:t xml:space="preserve"> отслеживание публично доступной информации о текущих розничных ценах на </w:t>
      </w:r>
      <w:r w:rsidR="00A224F7">
        <w:t xml:space="preserve">потребительские </w:t>
      </w:r>
      <w:r>
        <w:t>товары</w:t>
      </w:r>
      <w:r w:rsidR="005865D1">
        <w:t xml:space="preserve">, </w:t>
      </w:r>
      <w:r w:rsidR="00C075BA">
        <w:t>осуществляемое</w:t>
      </w:r>
      <w:r>
        <w:t xml:space="preserve"> любыми способами.</w:t>
      </w:r>
    </w:p>
    <w:p w14:paraId="29871177" w14:textId="77777777" w:rsidR="00F30E39" w:rsidRDefault="00F30E39" w:rsidP="00AA2715">
      <w:pPr>
        <w:pStyle w:val="a3"/>
        <w:spacing w:after="0" w:line="240" w:lineRule="auto"/>
        <w:ind w:left="0"/>
        <w:contextualSpacing w:val="0"/>
        <w:jc w:val="both"/>
      </w:pPr>
    </w:p>
    <w:p w14:paraId="3C40E759" w14:textId="32AC149F" w:rsidR="00F30E39" w:rsidRDefault="0076551D" w:rsidP="00AA2715">
      <w:pPr>
        <w:pStyle w:val="a3"/>
        <w:spacing w:after="0" w:line="240" w:lineRule="auto"/>
        <w:ind w:left="0"/>
        <w:contextualSpacing w:val="0"/>
        <w:jc w:val="both"/>
      </w:pPr>
      <w:r>
        <w:rPr>
          <w:b/>
        </w:rPr>
        <w:t>Поставщик</w:t>
      </w:r>
      <w:r w:rsidR="00F30E39">
        <w:t xml:space="preserve"> </w:t>
      </w:r>
      <w:r w:rsidR="00F30E39" w:rsidRPr="00F435B2">
        <w:t xml:space="preserve">– хозяйствующий субъект, </w:t>
      </w:r>
      <w:r w:rsidR="00F30E39">
        <w:t>осуществляющий производство товаров, участники его группы лиц, осуществляющие поставки товаров производителя на территории Российской Федерации, а также импортеры</w:t>
      </w:r>
      <w:r w:rsidR="001A59EE">
        <w:t xml:space="preserve"> и иные поставщики</w:t>
      </w:r>
      <w:r w:rsidR="00F30E39">
        <w:t>, уполномоченные</w:t>
      </w:r>
      <w:r w:rsidR="001A59EE">
        <w:t xml:space="preserve"> непосредственно</w:t>
      </w:r>
      <w:r w:rsidR="00F30E39" w:rsidRPr="00D0092C">
        <w:t xml:space="preserve"> </w:t>
      </w:r>
      <w:r w:rsidR="00F30E39">
        <w:t xml:space="preserve">производителем на осуществление импорта </w:t>
      </w:r>
      <w:r w:rsidR="001A59EE">
        <w:t xml:space="preserve">и/или </w:t>
      </w:r>
      <w:r w:rsidR="00B91B29">
        <w:t xml:space="preserve">на </w:t>
      </w:r>
      <w:r w:rsidR="001A59EE">
        <w:t>распространени</w:t>
      </w:r>
      <w:r w:rsidR="00B91B29">
        <w:t>е</w:t>
      </w:r>
      <w:r w:rsidR="001A59EE">
        <w:t xml:space="preserve"> </w:t>
      </w:r>
      <w:r w:rsidR="00F30E39">
        <w:t xml:space="preserve">товаров </w:t>
      </w:r>
      <w:r w:rsidR="001A59EE">
        <w:t>на территории</w:t>
      </w:r>
      <w:r w:rsidR="00F30E39">
        <w:t xml:space="preserve"> Российск</w:t>
      </w:r>
      <w:r w:rsidR="001A59EE">
        <w:t>ой</w:t>
      </w:r>
      <w:r w:rsidR="00F30E39">
        <w:t xml:space="preserve"> Федераци</w:t>
      </w:r>
      <w:r w:rsidR="001A59EE">
        <w:t>и</w:t>
      </w:r>
      <w:r w:rsidR="00364DED">
        <w:t xml:space="preserve">, </w:t>
      </w:r>
      <w:r w:rsidR="00657B85">
        <w:t xml:space="preserve">включая </w:t>
      </w:r>
      <w:r w:rsidR="001A59EE" w:rsidRPr="00F435B2">
        <w:t>хозяйствующи</w:t>
      </w:r>
      <w:r w:rsidR="001A59EE">
        <w:t>х</w:t>
      </w:r>
      <w:r w:rsidR="001A59EE" w:rsidRPr="00F435B2">
        <w:t xml:space="preserve"> субъект</w:t>
      </w:r>
      <w:r w:rsidR="001A59EE">
        <w:t>ов</w:t>
      </w:r>
      <w:r w:rsidR="00657B85">
        <w:t>,</w:t>
      </w:r>
      <w:r w:rsidR="00364DED">
        <w:t xml:space="preserve"> не входящи</w:t>
      </w:r>
      <w:r w:rsidR="00657B85">
        <w:t>х</w:t>
      </w:r>
      <w:r w:rsidR="00364DED">
        <w:t xml:space="preserve"> в группу лиц производителя</w:t>
      </w:r>
      <w:r w:rsidR="00F30E39">
        <w:t>.</w:t>
      </w:r>
    </w:p>
    <w:p w14:paraId="3DF45CBF" w14:textId="6296E5D3" w:rsidR="00125021" w:rsidRDefault="00125021" w:rsidP="00AA2715">
      <w:pPr>
        <w:pStyle w:val="a3"/>
        <w:spacing w:after="0" w:line="240" w:lineRule="auto"/>
        <w:ind w:left="0"/>
        <w:contextualSpacing w:val="0"/>
        <w:jc w:val="both"/>
      </w:pPr>
    </w:p>
    <w:p w14:paraId="51FBB2B5" w14:textId="23126089" w:rsidR="00125021" w:rsidRDefault="00125021" w:rsidP="00AA2715">
      <w:pPr>
        <w:pStyle w:val="a3"/>
        <w:spacing w:after="0" w:line="240" w:lineRule="auto"/>
        <w:ind w:left="0"/>
        <w:contextualSpacing w:val="0"/>
        <w:jc w:val="both"/>
      </w:pPr>
      <w:r w:rsidRPr="00125021">
        <w:rPr>
          <w:b/>
          <w:bCs/>
        </w:rPr>
        <w:t>Прямой Реселлер</w:t>
      </w:r>
      <w:r>
        <w:t xml:space="preserve"> – Реселлер, с которым у </w:t>
      </w:r>
      <w:r w:rsidR="0076551D">
        <w:t>Поставщика</w:t>
      </w:r>
      <w:r>
        <w:t xml:space="preserve"> заключен договор поставки </w:t>
      </w:r>
      <w:r w:rsidR="000F6CFE">
        <w:t xml:space="preserve">или купли-продажи </w:t>
      </w:r>
      <w:r>
        <w:t>продукции</w:t>
      </w:r>
      <w:r w:rsidR="004F1AEB">
        <w:t xml:space="preserve">, </w:t>
      </w:r>
      <w:r w:rsidR="00FA36BD">
        <w:t xml:space="preserve">на основании которого происходит отгрузка продукции от </w:t>
      </w:r>
      <w:r w:rsidR="0076551D">
        <w:t>Поставщика</w:t>
      </w:r>
      <w:r w:rsidR="00FA36BD">
        <w:t xml:space="preserve"> Реселлеру.</w:t>
      </w:r>
    </w:p>
    <w:p w14:paraId="05EE7AC8" w14:textId="77777777" w:rsidR="000078A6" w:rsidRPr="00F435B2" w:rsidRDefault="000078A6" w:rsidP="00C73F3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58B322B" w14:textId="3E977888" w:rsidR="00F30E39" w:rsidRPr="00F435B2" w:rsidRDefault="00F30E39" w:rsidP="00F30E39">
      <w:pPr>
        <w:pStyle w:val="a3"/>
        <w:spacing w:after="0" w:line="240" w:lineRule="auto"/>
        <w:ind w:left="0"/>
        <w:contextualSpacing w:val="0"/>
        <w:jc w:val="both"/>
      </w:pPr>
      <w:r w:rsidRPr="00F435B2">
        <w:rPr>
          <w:b/>
        </w:rPr>
        <w:t>Реселлер</w:t>
      </w:r>
      <w:r w:rsidRPr="00F435B2">
        <w:t xml:space="preserve"> – хозяйствующий субъект, осуществляющий розничную торговлю товарами, вне зависимости от способа продажи товаров (через один или несколько торговых объектов, через информационно-телекоммуникационную сеть Интернет</w:t>
      </w:r>
      <w:r w:rsidR="00657B85">
        <w:t>, а также</w:t>
      </w:r>
      <w:r w:rsidRPr="00F435B2">
        <w:t xml:space="preserve"> посредством продаж как через торговые объекты, так и через сеть Интернет)</w:t>
      </w:r>
      <w:r>
        <w:t>, а также участники его группы лиц</w:t>
      </w:r>
      <w:r w:rsidRPr="00F435B2">
        <w:t>.</w:t>
      </w:r>
    </w:p>
    <w:p w14:paraId="0C2B1E62" w14:textId="596A309B" w:rsidR="000078A6" w:rsidRDefault="000078A6" w:rsidP="00C73F33">
      <w:pPr>
        <w:pStyle w:val="a3"/>
        <w:spacing w:after="0" w:line="240" w:lineRule="auto"/>
        <w:ind w:left="0"/>
        <w:contextualSpacing w:val="0"/>
        <w:jc w:val="both"/>
      </w:pPr>
    </w:p>
    <w:p w14:paraId="59D788DE" w14:textId="3DF082F9" w:rsidR="00E04D1F" w:rsidRDefault="00E04D1F" w:rsidP="00C73F33">
      <w:pPr>
        <w:pStyle w:val="a3"/>
        <w:spacing w:after="0" w:line="240" w:lineRule="auto"/>
        <w:ind w:left="0"/>
        <w:contextualSpacing w:val="0"/>
        <w:jc w:val="both"/>
        <w:rPr>
          <w:b/>
          <w:bCs/>
        </w:rPr>
      </w:pPr>
      <w:r w:rsidRPr="00486260">
        <w:rPr>
          <w:b/>
          <w:bCs/>
        </w:rPr>
        <w:t>Ценовая координация</w:t>
      </w:r>
      <w:r w:rsidRPr="00E04D1F">
        <w:t xml:space="preserve"> – </w:t>
      </w:r>
      <w:r w:rsidR="002D13FD">
        <w:t>определение</w:t>
      </w:r>
      <w:r>
        <w:t xml:space="preserve"> </w:t>
      </w:r>
      <w:r w:rsidR="002D13FD">
        <w:t xml:space="preserve">приведено </w:t>
      </w:r>
      <w:r w:rsidRPr="00E04D1F">
        <w:t>в пункте 3 настоящих Рекомендаций.</w:t>
      </w:r>
    </w:p>
    <w:p w14:paraId="79BA3D1D" w14:textId="77777777" w:rsidR="00E04D1F" w:rsidRDefault="00E04D1F" w:rsidP="00C73F33">
      <w:pPr>
        <w:pStyle w:val="a3"/>
        <w:spacing w:after="0" w:line="240" w:lineRule="auto"/>
        <w:ind w:left="0"/>
        <w:contextualSpacing w:val="0"/>
        <w:jc w:val="both"/>
      </w:pPr>
    </w:p>
    <w:p w14:paraId="5AFAE75F" w14:textId="0B63D9DC" w:rsidR="00275F31" w:rsidRPr="00867E57" w:rsidRDefault="001A59EE" w:rsidP="00275F31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b/>
          <w:caps/>
        </w:rPr>
      </w:pPr>
      <w:r>
        <w:rPr>
          <w:b/>
          <w:caps/>
        </w:rPr>
        <w:t xml:space="preserve">цель рекомендаций </w:t>
      </w:r>
    </w:p>
    <w:p w14:paraId="154188A9" w14:textId="77777777" w:rsidR="00275F31" w:rsidRDefault="00275F31" w:rsidP="00275F31">
      <w:pPr>
        <w:spacing w:after="0" w:line="240" w:lineRule="auto"/>
        <w:jc w:val="both"/>
      </w:pPr>
    </w:p>
    <w:p w14:paraId="038342FE" w14:textId="714B1169" w:rsidR="00A91E68" w:rsidRDefault="00275F31" w:rsidP="00275F31">
      <w:pPr>
        <w:jc w:val="both"/>
      </w:pPr>
      <w:r>
        <w:t>Рынк</w:t>
      </w:r>
      <w:r w:rsidR="00274FE1">
        <w:t>и</w:t>
      </w:r>
      <w:r>
        <w:t xml:space="preserve"> потребительских товаров характеризу</w:t>
      </w:r>
      <w:r w:rsidR="008D664F">
        <w:t>ю</w:t>
      </w:r>
      <w:r>
        <w:t xml:space="preserve">тся многоступенчатой структурой движения продукции по товарораспределительной цепочке к </w:t>
      </w:r>
      <w:r w:rsidR="00B95605">
        <w:t xml:space="preserve">Конечному </w:t>
      </w:r>
      <w:r>
        <w:t xml:space="preserve">потребителю. </w:t>
      </w:r>
      <w:r w:rsidR="00274FE1">
        <w:t>Реселлеры</w:t>
      </w:r>
      <w:r>
        <w:t xml:space="preserve">, присутствующие в структуре товаропотока, могут не обладать достаточными финансовыми и кадровыми ресурсами для осуществления эффективного </w:t>
      </w:r>
      <w:r w:rsidR="003811F3">
        <w:t xml:space="preserve">продвижения и </w:t>
      </w:r>
      <w:r>
        <w:t>маркетинга определённых потребительских товаров</w:t>
      </w:r>
      <w:r w:rsidR="00DF406D" w:rsidRPr="00DF406D">
        <w:t xml:space="preserve"> </w:t>
      </w:r>
      <w:r w:rsidR="00DF406D">
        <w:t>или отдельных брендов потребительских товаров</w:t>
      </w:r>
      <w:r>
        <w:t>.</w:t>
      </w:r>
    </w:p>
    <w:p w14:paraId="7DA3EF24" w14:textId="0E2DD9F2" w:rsidR="00C3472E" w:rsidRDefault="00275F31" w:rsidP="00275F31">
      <w:pPr>
        <w:jc w:val="both"/>
      </w:pPr>
      <w:r>
        <w:lastRenderedPageBreak/>
        <w:t xml:space="preserve">В свою очередь, у </w:t>
      </w:r>
      <w:r w:rsidR="0076551D">
        <w:t>Поставщиков</w:t>
      </w:r>
      <w:r>
        <w:t xml:space="preserve"> есть накопленный опыт по позиционированию своей продукции в рознице,</w:t>
      </w:r>
      <w:r w:rsidRPr="008124A4">
        <w:t xml:space="preserve"> </w:t>
      </w:r>
      <w:r w:rsidR="00550DE3">
        <w:t xml:space="preserve">в том числе в связи с </w:t>
      </w:r>
      <w:r w:rsidR="002A7F45">
        <w:t xml:space="preserve">обязанностями Поставщика по обеспечению </w:t>
      </w:r>
      <w:r w:rsidR="00C12B6D">
        <w:t xml:space="preserve">качества продукции, </w:t>
      </w:r>
      <w:r w:rsidR="002A7F45">
        <w:t xml:space="preserve">соответствующего </w:t>
      </w:r>
      <w:r w:rsidR="00047591">
        <w:t>законодательству</w:t>
      </w:r>
      <w:r w:rsidR="00C2062A">
        <w:t>,</w:t>
      </w:r>
      <w:r w:rsidR="00C12B6D">
        <w:t xml:space="preserve"> </w:t>
      </w:r>
      <w:r w:rsidR="00C2062A">
        <w:t>интересам</w:t>
      </w:r>
      <w:r w:rsidR="002A7F45">
        <w:t xml:space="preserve"> </w:t>
      </w:r>
      <w:r w:rsidR="00047591">
        <w:t xml:space="preserve">и потребностям </w:t>
      </w:r>
      <w:r w:rsidR="002A7F45">
        <w:t xml:space="preserve">Конечных потребителей, </w:t>
      </w:r>
      <w:r w:rsidR="00047591">
        <w:t xml:space="preserve">а также </w:t>
      </w:r>
      <w:r w:rsidR="00550DE3">
        <w:t>инвестициями Поставщиков в развитие бренда</w:t>
      </w:r>
      <w:r w:rsidR="002A7F45">
        <w:t xml:space="preserve">. По этим причинам Поставщики </w:t>
      </w:r>
      <w:r>
        <w:t>более точно прогнозир</w:t>
      </w:r>
      <w:r w:rsidR="004C71C1">
        <w:t>уют</w:t>
      </w:r>
      <w:r>
        <w:t xml:space="preserve"> потребительское поведение в отношении производимых товаров</w:t>
      </w:r>
      <w:r w:rsidR="00017AC4">
        <w:t xml:space="preserve">. Более того, </w:t>
      </w:r>
      <w:r w:rsidR="0076551D">
        <w:t>Поставщики</w:t>
      </w:r>
      <w:r w:rsidR="00673689">
        <w:t xml:space="preserve"> могут разрабатывать определенную стратегию </w:t>
      </w:r>
      <w:r w:rsidR="00BF3E50">
        <w:t xml:space="preserve">позиционирования </w:t>
      </w:r>
      <w:r w:rsidR="00B57C14">
        <w:t xml:space="preserve">своей </w:t>
      </w:r>
      <w:r w:rsidR="00BF3E50">
        <w:t xml:space="preserve">потребительской продукции при выпуске ее на рынок. </w:t>
      </w:r>
      <w:r w:rsidR="00D03131">
        <w:t>С</w:t>
      </w:r>
      <w:r w:rsidR="00BF3E50">
        <w:t xml:space="preserve">тратегия </w:t>
      </w:r>
      <w:r w:rsidR="00D03131">
        <w:t xml:space="preserve">позиционирования </w:t>
      </w:r>
      <w:r w:rsidR="00BF3E50">
        <w:t>отражае</w:t>
      </w:r>
      <w:r w:rsidR="00D03131">
        <w:t>тся на рекламной к</w:t>
      </w:r>
      <w:r w:rsidR="00246B17">
        <w:t>а</w:t>
      </w:r>
      <w:r w:rsidR="00D03131">
        <w:t>мпании</w:t>
      </w:r>
      <w:r w:rsidR="004C71C1">
        <w:t xml:space="preserve"> </w:t>
      </w:r>
      <w:r w:rsidR="0076551D">
        <w:t>Поставщиков</w:t>
      </w:r>
      <w:r w:rsidR="00D03131">
        <w:t xml:space="preserve">, а также на иных способах продвижения </w:t>
      </w:r>
      <w:r w:rsidR="00640B83">
        <w:t>такой</w:t>
      </w:r>
      <w:r w:rsidR="00D03131">
        <w:t xml:space="preserve"> продукции.</w:t>
      </w:r>
      <w:r w:rsidR="004C71C1">
        <w:t xml:space="preserve"> </w:t>
      </w:r>
    </w:p>
    <w:p w14:paraId="466F0F36" w14:textId="7B5DF3CC" w:rsidR="006B3B87" w:rsidRDefault="00275F31" w:rsidP="00275F31">
      <w:pPr>
        <w:jc w:val="both"/>
      </w:pPr>
      <w:r>
        <w:t xml:space="preserve">По этой причине </w:t>
      </w:r>
      <w:r w:rsidR="0076551D">
        <w:t>Поставщики</w:t>
      </w:r>
      <w:r>
        <w:t xml:space="preserve"> продукции могут </w:t>
      </w:r>
      <w:r w:rsidR="00640B83">
        <w:t xml:space="preserve">периодически </w:t>
      </w:r>
      <w:r>
        <w:t>направлять/публиковать рекомендации относительно ценового позиционирования своей</w:t>
      </w:r>
      <w:r w:rsidR="004C71C1">
        <w:t xml:space="preserve"> потребител</w:t>
      </w:r>
      <w:r w:rsidR="001F6397">
        <w:t>ьской</w:t>
      </w:r>
      <w:r>
        <w:t xml:space="preserve"> продукции в рознице. В то же время, поскольку подобные рекомендации адресованы независимым участникам рынка</w:t>
      </w:r>
      <w:r w:rsidR="001F6397">
        <w:t xml:space="preserve"> (Реселлерам)</w:t>
      </w:r>
      <w:r>
        <w:t xml:space="preserve">, </w:t>
      </w:r>
      <w:r w:rsidR="00A147AA">
        <w:t xml:space="preserve">в случае их соблюдения </w:t>
      </w:r>
      <w:r>
        <w:t xml:space="preserve">они могут нести риск нарушения </w:t>
      </w:r>
      <w:r w:rsidRPr="0070179B">
        <w:t>Закон</w:t>
      </w:r>
      <w:r w:rsidR="001F6397" w:rsidRPr="0070179B">
        <w:t>а</w:t>
      </w:r>
      <w:r w:rsidRPr="0070179B">
        <w:t xml:space="preserve"> о защите конкуренции</w:t>
      </w:r>
      <w:r>
        <w:t xml:space="preserve">, в частности, требования о недопущении координации экономического поведения </w:t>
      </w:r>
      <w:r w:rsidR="00CD6F72">
        <w:t>Реселлеров</w:t>
      </w:r>
      <w:r>
        <w:t>.</w:t>
      </w:r>
      <w:r w:rsidR="0070179B">
        <w:t xml:space="preserve"> </w:t>
      </w:r>
    </w:p>
    <w:p w14:paraId="6A4E1492" w14:textId="0EBE9C6A" w:rsidR="000078A6" w:rsidRPr="00CE5A11" w:rsidRDefault="0070179B" w:rsidP="00AC7D4F">
      <w:pPr>
        <w:jc w:val="both"/>
      </w:pPr>
      <w:r>
        <w:t>Целью настоящих Рекомендаций является</w:t>
      </w:r>
      <w:r w:rsidR="006B3B87" w:rsidRPr="006B3B87">
        <w:t xml:space="preserve"> определение общих подходов к оценке </w:t>
      </w:r>
      <w:r w:rsidR="006B3B87">
        <w:t>практик</w:t>
      </w:r>
      <w:r w:rsidR="009D2607">
        <w:t>, связанных с ценовым позиционированием</w:t>
      </w:r>
      <w:r w:rsidR="00F90364">
        <w:t xml:space="preserve">, с точки зрения запрета, предусмотренного частью 5 статьи 11 Закона о защите конкуренции. </w:t>
      </w:r>
      <w:r w:rsidR="006B3B87" w:rsidRPr="00CE5A11">
        <w:t xml:space="preserve">При этом перечисленные в настоящих Рекомендациях </w:t>
      </w:r>
      <w:r w:rsidR="00AC7D4F" w:rsidRPr="00CE5A11">
        <w:t xml:space="preserve">допустимые </w:t>
      </w:r>
      <w:r w:rsidR="006B3B87" w:rsidRPr="00CE5A11">
        <w:t>практики не являются единственно допустимыми, хозяйствующие субъекты вправе совершать иные действия, не противоречащие требованиям Закона о защите конкуренции.</w:t>
      </w:r>
    </w:p>
    <w:p w14:paraId="135E0534" w14:textId="77777777" w:rsidR="00AC7D4F" w:rsidRDefault="00AC7D4F" w:rsidP="00AC7D4F">
      <w:pPr>
        <w:pStyle w:val="a3"/>
        <w:spacing w:after="0" w:line="240" w:lineRule="auto"/>
        <w:ind w:left="0"/>
        <w:contextualSpacing w:val="0"/>
        <w:jc w:val="both"/>
        <w:rPr>
          <w:b/>
          <w:caps/>
        </w:rPr>
      </w:pPr>
    </w:p>
    <w:p w14:paraId="5F00A3CA" w14:textId="5E919DC2" w:rsidR="00596C7B" w:rsidRPr="00473D2E" w:rsidRDefault="00473D2E" w:rsidP="00C73F33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b/>
          <w:caps/>
        </w:rPr>
      </w:pPr>
      <w:r w:rsidRPr="00473D2E">
        <w:rPr>
          <w:b/>
          <w:caps/>
        </w:rPr>
        <w:t>Понятие</w:t>
      </w:r>
      <w:r w:rsidR="00145CC5" w:rsidRPr="00473D2E">
        <w:rPr>
          <w:b/>
          <w:caps/>
        </w:rPr>
        <w:t xml:space="preserve"> </w:t>
      </w:r>
      <w:r w:rsidR="001A2ECB" w:rsidRPr="00473D2E">
        <w:rPr>
          <w:b/>
          <w:caps/>
        </w:rPr>
        <w:t>ценовой</w:t>
      </w:r>
      <w:r w:rsidR="00145CC5" w:rsidRPr="00473D2E">
        <w:rPr>
          <w:b/>
          <w:caps/>
        </w:rPr>
        <w:t xml:space="preserve"> к</w:t>
      </w:r>
      <w:r w:rsidR="003862B2" w:rsidRPr="00473D2E">
        <w:rPr>
          <w:b/>
          <w:caps/>
        </w:rPr>
        <w:t>оординаци</w:t>
      </w:r>
      <w:r w:rsidR="00145CC5" w:rsidRPr="00473D2E">
        <w:rPr>
          <w:b/>
          <w:caps/>
        </w:rPr>
        <w:t>и</w:t>
      </w:r>
    </w:p>
    <w:p w14:paraId="3E1804FB" w14:textId="77777777" w:rsidR="00C73F33" w:rsidRDefault="00C73F33" w:rsidP="00C73F33">
      <w:pPr>
        <w:spacing w:after="0" w:line="240" w:lineRule="auto"/>
        <w:jc w:val="both"/>
      </w:pPr>
    </w:p>
    <w:p w14:paraId="37466A99" w14:textId="3831005E" w:rsidR="00400BA9" w:rsidRDefault="007966D3" w:rsidP="00C73F33">
      <w:pPr>
        <w:spacing w:after="0" w:line="240" w:lineRule="auto"/>
        <w:jc w:val="both"/>
      </w:pPr>
      <w:r w:rsidRPr="007966D3">
        <w:t xml:space="preserve">В </w:t>
      </w:r>
      <w:r w:rsidR="00740337" w:rsidRPr="007966D3">
        <w:t>соответствии</w:t>
      </w:r>
      <w:r w:rsidRPr="007966D3">
        <w:t xml:space="preserve"> с частью 5 статьи 11 </w:t>
      </w:r>
      <w:r w:rsidR="00887862" w:rsidRPr="00072159">
        <w:t>Закон</w:t>
      </w:r>
      <w:r w:rsidR="00673689">
        <w:t>а</w:t>
      </w:r>
      <w:r w:rsidR="00887862" w:rsidRPr="00072159">
        <w:t xml:space="preserve"> о защите конкуренции</w:t>
      </w:r>
      <w:r w:rsidR="00072159">
        <w:t xml:space="preserve"> </w:t>
      </w:r>
      <w:r w:rsidRPr="007966D3">
        <w:t xml:space="preserve">запрещается осуществлять координацию экономической деятельности хозяйствующих субъектов, если такая координация приводит к любому из последствий, которые указаны в частях 1 - 3 </w:t>
      </w:r>
      <w:r w:rsidR="00051453">
        <w:t>данной</w:t>
      </w:r>
      <w:r w:rsidRPr="007966D3">
        <w:t xml:space="preserve"> статьи</w:t>
      </w:r>
      <w:r w:rsidR="00051453">
        <w:t xml:space="preserve">. </w:t>
      </w:r>
    </w:p>
    <w:p w14:paraId="3C79E534" w14:textId="77777777" w:rsidR="00400BA9" w:rsidRDefault="00400BA9" w:rsidP="00C73F33">
      <w:pPr>
        <w:spacing w:after="0" w:line="240" w:lineRule="auto"/>
        <w:jc w:val="both"/>
      </w:pPr>
    </w:p>
    <w:p w14:paraId="56A44D1F" w14:textId="77777777" w:rsidR="00400BA9" w:rsidRDefault="000851B8" w:rsidP="00C73F33">
      <w:pPr>
        <w:spacing w:after="0" w:line="240" w:lineRule="auto"/>
        <w:jc w:val="both"/>
      </w:pPr>
      <w:r>
        <w:t xml:space="preserve">Под координацией экономической деятельности понимается </w:t>
      </w:r>
      <w:r w:rsidRPr="000851B8">
        <w:t>согласование действий хозяйствующих субъектов третьим лицом, не входящим в одну группу лиц ни с одним из таких хозяйствующих субъектов и не осуществляющим деятельности на товарном рынке, на котором осуществляется согласование действий хозяйствующих субъектов</w:t>
      </w:r>
      <w:r w:rsidR="00E33C8D">
        <w:t xml:space="preserve"> (пункт 14 статьи 4 </w:t>
      </w:r>
      <w:r w:rsidR="00E33C8D" w:rsidRPr="007966D3">
        <w:t>Закона о защите конкуренции</w:t>
      </w:r>
      <w:r w:rsidR="00E33C8D">
        <w:t>)</w:t>
      </w:r>
      <w:r w:rsidRPr="000851B8">
        <w:t xml:space="preserve">. </w:t>
      </w:r>
      <w:r w:rsidR="00C07264">
        <w:t>Н</w:t>
      </w:r>
      <w:r w:rsidRPr="000851B8">
        <w:t>е являются координацией экономической деятельности действия хозяйствующих субъектов, осуществляемые в рамках "вертикальных" соглашений</w:t>
      </w:r>
      <w:r w:rsidR="00106E6D">
        <w:t>.</w:t>
      </w:r>
      <w:r w:rsidR="006D2864">
        <w:t xml:space="preserve"> </w:t>
      </w:r>
    </w:p>
    <w:p w14:paraId="51BD3C7E" w14:textId="77777777" w:rsidR="00400BA9" w:rsidRDefault="00400BA9" w:rsidP="00C73F33">
      <w:pPr>
        <w:spacing w:after="0" w:line="240" w:lineRule="auto"/>
        <w:jc w:val="both"/>
      </w:pPr>
    </w:p>
    <w:p w14:paraId="65FD4989" w14:textId="22A8B521" w:rsidR="00F9400E" w:rsidRDefault="00745B34" w:rsidP="009D6F60">
      <w:pPr>
        <w:spacing w:after="0" w:line="240" w:lineRule="auto"/>
        <w:jc w:val="both"/>
        <w:rPr>
          <w:bCs/>
        </w:rPr>
      </w:pPr>
      <w:r>
        <w:t>Таким образом, з</w:t>
      </w:r>
      <w:r w:rsidR="00FB7F35">
        <w:t xml:space="preserve">апрещенной является </w:t>
      </w:r>
      <w:r w:rsidR="00D11308">
        <w:t xml:space="preserve">в том числе </w:t>
      </w:r>
      <w:r w:rsidR="00FB7F35">
        <w:t>координация экономической деятельности</w:t>
      </w:r>
      <w:r w:rsidR="006D2864">
        <w:t xml:space="preserve">, </w:t>
      </w:r>
      <w:r w:rsidR="00FB7F35">
        <w:t xml:space="preserve">которая </w:t>
      </w:r>
      <w:r w:rsidR="009F48D4">
        <w:t>приводит к последствиям, предусмотренным</w:t>
      </w:r>
      <w:r w:rsidR="00F9400E">
        <w:t xml:space="preserve"> пункт</w:t>
      </w:r>
      <w:r w:rsidR="009F48D4">
        <w:t>ом</w:t>
      </w:r>
      <w:r w:rsidR="00F9400E">
        <w:t xml:space="preserve"> 1 части 1 статьи 11 </w:t>
      </w:r>
      <w:r w:rsidR="00F9400E" w:rsidRPr="007966D3">
        <w:t>Закона о защите конкуренции</w:t>
      </w:r>
      <w:r w:rsidR="009F48D4">
        <w:t>, а именно к</w:t>
      </w:r>
      <w:r w:rsidR="00F9400E" w:rsidRPr="007966D3">
        <w:t xml:space="preserve"> </w:t>
      </w:r>
      <w:r w:rsidR="009C4EC1">
        <w:t>установлени</w:t>
      </w:r>
      <w:r w:rsidR="00BC03DF">
        <w:t>ю</w:t>
      </w:r>
      <w:r w:rsidR="00F9400E" w:rsidRPr="00F9400E">
        <w:t xml:space="preserve"> или поддержани</w:t>
      </w:r>
      <w:r w:rsidR="00BC03DF">
        <w:t>ю</w:t>
      </w:r>
      <w:r w:rsidR="00F9400E" w:rsidRPr="00F9400E">
        <w:t xml:space="preserve"> цен (тарифов), скидок, надбавок (доплат) и (или) наценок.</w:t>
      </w:r>
      <w:r w:rsidR="009C4EC1">
        <w:t xml:space="preserve"> </w:t>
      </w:r>
      <w:r w:rsidR="00BC03DF">
        <w:t xml:space="preserve">Именно такой вид запрещенной координации экономической деятельности в </w:t>
      </w:r>
      <w:r w:rsidR="00486260">
        <w:t>настоящих Рекомендациях определен как «</w:t>
      </w:r>
      <w:r w:rsidR="0014449B" w:rsidRPr="00486260">
        <w:rPr>
          <w:b/>
          <w:bCs/>
        </w:rPr>
        <w:t>Ценовая координация</w:t>
      </w:r>
      <w:r w:rsidR="00486260">
        <w:t>».</w:t>
      </w:r>
    </w:p>
    <w:p w14:paraId="73886394" w14:textId="77777777" w:rsidR="00C73F33" w:rsidRDefault="00C73F33" w:rsidP="00C73F33">
      <w:pPr>
        <w:spacing w:after="0" w:line="240" w:lineRule="auto"/>
        <w:jc w:val="both"/>
      </w:pPr>
    </w:p>
    <w:p w14:paraId="316B17DC" w14:textId="77777777" w:rsidR="00486260" w:rsidRDefault="000572A8" w:rsidP="00C73F33">
      <w:pPr>
        <w:spacing w:after="0" w:line="240" w:lineRule="auto"/>
        <w:jc w:val="both"/>
      </w:pPr>
      <w:r>
        <w:t xml:space="preserve">Учитывая изложенное, </w:t>
      </w:r>
      <w:r w:rsidRPr="00072159">
        <w:t>основными признаками</w:t>
      </w:r>
      <w:r>
        <w:t xml:space="preserve"> </w:t>
      </w:r>
      <w:r w:rsidR="001A2ECB">
        <w:t>Ценовой</w:t>
      </w:r>
      <w:r>
        <w:t xml:space="preserve"> координации явля</w:t>
      </w:r>
      <w:r w:rsidR="00F51125">
        <w:t>ю</w:t>
      </w:r>
      <w:r>
        <w:t>тся</w:t>
      </w:r>
      <w:r w:rsidR="0044309D">
        <w:t xml:space="preserve"> следующ</w:t>
      </w:r>
      <w:r w:rsidR="00F51125">
        <w:t>и</w:t>
      </w:r>
      <w:r w:rsidR="0044309D">
        <w:t>е</w:t>
      </w:r>
      <w:r w:rsidR="0045125E">
        <w:t>:</w:t>
      </w:r>
    </w:p>
    <w:p w14:paraId="4CA03520" w14:textId="77777777" w:rsidR="00486260" w:rsidRDefault="00486260" w:rsidP="00C73F33">
      <w:pPr>
        <w:spacing w:after="0" w:line="240" w:lineRule="auto"/>
        <w:jc w:val="both"/>
      </w:pPr>
    </w:p>
    <w:p w14:paraId="0BADEC5F" w14:textId="3A70601A" w:rsidR="00486260" w:rsidRPr="00FA6078" w:rsidRDefault="008A49C7" w:rsidP="008A49C7">
      <w:pPr>
        <w:pStyle w:val="a3"/>
        <w:numPr>
          <w:ilvl w:val="0"/>
          <w:numId w:val="7"/>
        </w:numPr>
        <w:spacing w:after="0" w:line="240" w:lineRule="auto"/>
        <w:jc w:val="both"/>
        <w:rPr>
          <w:i/>
          <w:iCs/>
        </w:rPr>
      </w:pPr>
      <w:r w:rsidRPr="00FA6078">
        <w:rPr>
          <w:i/>
          <w:iCs/>
        </w:rPr>
        <w:t>С</w:t>
      </w:r>
      <w:r w:rsidR="0045125E" w:rsidRPr="00FA6078">
        <w:rPr>
          <w:i/>
          <w:iCs/>
        </w:rPr>
        <w:t xml:space="preserve">огласование действий хозяйствующих субъектов третьим лицом, которое (а) не входит ни с одним из таких хозяйствующих субъектов в группу лиц и при этом (б) </w:t>
      </w:r>
      <w:r w:rsidR="0045125E" w:rsidRPr="00A147AA">
        <w:rPr>
          <w:i/>
          <w:iCs/>
        </w:rPr>
        <w:t>не осуществляет деятельность на товарном рынке, на котором осуществляется согласование действий хозяйствующих субъектов</w:t>
      </w:r>
      <w:r w:rsidRPr="00FA6078">
        <w:rPr>
          <w:i/>
          <w:iCs/>
        </w:rPr>
        <w:t>.</w:t>
      </w:r>
    </w:p>
    <w:p w14:paraId="04239925" w14:textId="64B6CFCB" w:rsidR="008A49C7" w:rsidRDefault="008A49C7" w:rsidP="008A49C7">
      <w:pPr>
        <w:pStyle w:val="a3"/>
        <w:spacing w:after="0" w:line="240" w:lineRule="auto"/>
        <w:jc w:val="both"/>
      </w:pPr>
    </w:p>
    <w:p w14:paraId="544E9728" w14:textId="2190B2B6" w:rsidR="008A49C7" w:rsidRDefault="008A49C7" w:rsidP="008A49C7">
      <w:pPr>
        <w:pStyle w:val="a3"/>
        <w:spacing w:after="0" w:line="240" w:lineRule="auto"/>
        <w:jc w:val="both"/>
      </w:pPr>
      <w:r>
        <w:t xml:space="preserve">Вхождение хозяйствующих субъектов в одну группу лиц оценивается </w:t>
      </w:r>
      <w:r w:rsidR="00A112CD">
        <w:t>согласно признакам, установленным в части 1 статьи 9 Закона о защите конкуренции.</w:t>
      </w:r>
    </w:p>
    <w:p w14:paraId="1C9ABC0A" w14:textId="77777777" w:rsidR="008A49C7" w:rsidRDefault="008A49C7" w:rsidP="008A49C7">
      <w:pPr>
        <w:pStyle w:val="a3"/>
        <w:spacing w:after="0" w:line="240" w:lineRule="auto"/>
        <w:jc w:val="both"/>
      </w:pPr>
    </w:p>
    <w:p w14:paraId="55E9A069" w14:textId="2E6CD052" w:rsidR="00966AEF" w:rsidRDefault="008A49C7" w:rsidP="008A49C7">
      <w:pPr>
        <w:spacing w:after="0" w:line="240" w:lineRule="auto"/>
        <w:ind w:left="709"/>
        <w:jc w:val="both"/>
      </w:pPr>
      <w:r>
        <w:lastRenderedPageBreak/>
        <w:t xml:space="preserve">Определение границ товарных рынков, на которых действуют </w:t>
      </w:r>
      <w:r w:rsidR="0076551D">
        <w:t>Поставщики</w:t>
      </w:r>
      <w:r>
        <w:t xml:space="preserve"> и Реселлеры, осуществляется в соответствии с Порядком</w:t>
      </w:r>
      <w:r w:rsidRPr="00430B91">
        <w:t xml:space="preserve"> проведения анализа состояния конкуренции на товарном рынке, утв. Приказом </w:t>
      </w:r>
      <w:r w:rsidR="005C0AB1">
        <w:t xml:space="preserve">ФАС России </w:t>
      </w:r>
      <w:r w:rsidRPr="00430B91">
        <w:t>№ 220 от 28 апреля 2010 г.</w:t>
      </w:r>
      <w:r w:rsidR="003D76FA" w:rsidRPr="003D76FA">
        <w:t xml:space="preserve"> </w:t>
      </w:r>
      <w:r w:rsidR="003D76FA">
        <w:t>«</w:t>
      </w:r>
      <w:r w:rsidR="003D76FA" w:rsidRPr="003D76FA">
        <w:t>Об утверждении Порядка проведения анализа состояния конкуренции на товарном рынке</w:t>
      </w:r>
      <w:r w:rsidR="003D76FA">
        <w:t>»</w:t>
      </w:r>
      <w:r w:rsidR="004E1F53" w:rsidRPr="004E1F53">
        <w:t xml:space="preserve"> </w:t>
      </w:r>
      <w:r w:rsidR="004E1F53" w:rsidRPr="00ED4FF2">
        <w:t>(</w:t>
      </w:r>
      <w:r w:rsidR="00ED4FF2" w:rsidRPr="00F8121E">
        <w:t xml:space="preserve">далее – </w:t>
      </w:r>
      <w:r w:rsidR="00ED4FF2">
        <w:t>«</w:t>
      </w:r>
      <w:r w:rsidR="00ED4FF2">
        <w:rPr>
          <w:b/>
          <w:bCs/>
        </w:rPr>
        <w:t>Порядок</w:t>
      </w:r>
      <w:r w:rsidR="006027F8">
        <w:rPr>
          <w:b/>
          <w:bCs/>
        </w:rPr>
        <w:t xml:space="preserve"> 220</w:t>
      </w:r>
      <w:r w:rsidR="00ED4FF2">
        <w:t>»</w:t>
      </w:r>
      <w:r w:rsidR="004E1F53" w:rsidRPr="00ED4FF2">
        <w:t>)</w:t>
      </w:r>
      <w:r w:rsidR="003D76FA">
        <w:t>.</w:t>
      </w:r>
      <w:r>
        <w:t xml:space="preserve"> </w:t>
      </w:r>
    </w:p>
    <w:p w14:paraId="7F0D3931" w14:textId="14009D1C" w:rsidR="003D76FA" w:rsidRDefault="003D76FA" w:rsidP="008A49C7">
      <w:pPr>
        <w:spacing w:after="0" w:line="240" w:lineRule="auto"/>
        <w:ind w:left="709"/>
        <w:jc w:val="both"/>
      </w:pPr>
    </w:p>
    <w:p w14:paraId="2E3CE35F" w14:textId="38688B08" w:rsidR="00676E1B" w:rsidRPr="007776F4" w:rsidRDefault="002B718D" w:rsidP="00400435">
      <w:pPr>
        <w:pStyle w:val="a3"/>
        <w:spacing w:after="0" w:line="240" w:lineRule="auto"/>
        <w:jc w:val="both"/>
      </w:pPr>
      <w:r>
        <w:t>Как следует из</w:t>
      </w:r>
      <w:r w:rsidR="00D11308">
        <w:t xml:space="preserve"> </w:t>
      </w:r>
      <w:proofErr w:type="spellStart"/>
      <w:r w:rsidR="00D11308">
        <w:t>пп</w:t>
      </w:r>
      <w:proofErr w:type="spellEnd"/>
      <w:r w:rsidR="00D11308">
        <w:t>. 10.</w:t>
      </w:r>
      <w:r w:rsidR="006027F8">
        <w:t>5</w:t>
      </w:r>
      <w:r w:rsidR="00D11308">
        <w:t xml:space="preserve"> </w:t>
      </w:r>
      <w:r w:rsidR="006027F8">
        <w:t xml:space="preserve">и </w:t>
      </w:r>
      <w:r w:rsidR="00D11308">
        <w:t>10.</w:t>
      </w:r>
      <w:r w:rsidR="006027F8">
        <w:t>4</w:t>
      </w:r>
      <w:r w:rsidR="00D11308">
        <w:t xml:space="preserve"> Порядка</w:t>
      </w:r>
      <w:r w:rsidR="006027F8">
        <w:t xml:space="preserve"> 220</w:t>
      </w:r>
      <w:r w:rsidR="001334C2" w:rsidRPr="001334C2">
        <w:t xml:space="preserve"> </w:t>
      </w:r>
      <w:r w:rsidR="001334C2">
        <w:t xml:space="preserve">в рамках рассмотрения ФАС России </w:t>
      </w:r>
      <w:r w:rsidR="00C75C9C">
        <w:t xml:space="preserve">дел о Ценовой координации </w:t>
      </w:r>
      <w:r w:rsidR="00676E1B" w:rsidRPr="00676E1B">
        <w:t xml:space="preserve">анализ состояния конкуренции на товарном рынке </w:t>
      </w:r>
      <w:r w:rsidR="001334C2">
        <w:t xml:space="preserve">проводится </w:t>
      </w:r>
      <w:r w:rsidR="006027F8">
        <w:t xml:space="preserve">в сокращенной форме и </w:t>
      </w:r>
      <w:r w:rsidR="00676E1B" w:rsidRPr="00676E1B">
        <w:t>включает следующие этапы:</w:t>
      </w:r>
      <w:r w:rsidR="00676E1B">
        <w:t xml:space="preserve"> (1) </w:t>
      </w:r>
      <w:r w:rsidR="00676E1B" w:rsidRPr="00676E1B">
        <w:t>определение временного интервала исследования товарного рынка;</w:t>
      </w:r>
      <w:r w:rsidR="00676E1B">
        <w:t xml:space="preserve"> (2) </w:t>
      </w:r>
      <w:r w:rsidR="00676E1B" w:rsidRPr="00676E1B">
        <w:t xml:space="preserve">определение продуктовых границ товарного рынка, которое производится исходя из предмета </w:t>
      </w:r>
      <w:r w:rsidR="00696CD2">
        <w:t>договоренностей</w:t>
      </w:r>
      <w:r w:rsidR="00676E1B" w:rsidRPr="00676E1B">
        <w:t xml:space="preserve"> хозяйствующих субъектов, в котор</w:t>
      </w:r>
      <w:r w:rsidR="00696CD2">
        <w:t>ых</w:t>
      </w:r>
      <w:r w:rsidR="00676E1B" w:rsidRPr="00676E1B">
        <w:t xml:space="preserve"> усматриваются признаки нарушения антимонопольного законодательства;</w:t>
      </w:r>
      <w:r w:rsidR="00676E1B">
        <w:t xml:space="preserve"> (3) </w:t>
      </w:r>
      <w:r w:rsidR="00676E1B" w:rsidRPr="00676E1B">
        <w:t>определение географических границ товарного рынка;</w:t>
      </w:r>
      <w:r w:rsidR="00676E1B">
        <w:t xml:space="preserve"> (4) </w:t>
      </w:r>
      <w:r w:rsidR="00676E1B" w:rsidRPr="00676E1B">
        <w:t xml:space="preserve">установление факта наличия конкурентных отношений между </w:t>
      </w:r>
      <w:r w:rsidR="00E67EC0">
        <w:t>координируемыми лицами</w:t>
      </w:r>
      <w:r w:rsidR="00676E1B" w:rsidRPr="00676E1B">
        <w:t>.</w:t>
      </w:r>
      <w:r w:rsidR="00676E1B">
        <w:t xml:space="preserve"> </w:t>
      </w:r>
      <w:r w:rsidR="00676E1B" w:rsidRPr="00676E1B">
        <w:t xml:space="preserve">Географические границы товарного рынка определяются с учетом материалов дела о нарушении антимонопольного законодательства, в том числе территорий, </w:t>
      </w:r>
      <w:r w:rsidR="002243BA">
        <w:t xml:space="preserve">на которых действуют </w:t>
      </w:r>
      <w:r w:rsidR="00815E91">
        <w:t>координируемые лица</w:t>
      </w:r>
      <w:r w:rsidR="00046FFA">
        <w:t>.</w:t>
      </w:r>
    </w:p>
    <w:p w14:paraId="5A188F06" w14:textId="649A2963" w:rsidR="00FF44D6" w:rsidRPr="00400435" w:rsidRDefault="00400435" w:rsidP="002A5CFD">
      <w:pPr>
        <w:pStyle w:val="a3"/>
        <w:spacing w:after="0" w:line="240" w:lineRule="auto"/>
        <w:jc w:val="both"/>
      </w:pPr>
      <w:r w:rsidRPr="00400435">
        <w:t xml:space="preserve"> </w:t>
      </w:r>
    </w:p>
    <w:p w14:paraId="42866EE8" w14:textId="727778B0" w:rsidR="00E65F89" w:rsidRDefault="0076551D" w:rsidP="008A49C7">
      <w:pPr>
        <w:spacing w:after="0" w:line="240" w:lineRule="auto"/>
        <w:ind w:left="709"/>
        <w:jc w:val="both"/>
      </w:pPr>
      <w:r>
        <w:t>Поставщики</w:t>
      </w:r>
      <w:r w:rsidR="00A55FDF">
        <w:t xml:space="preserve"> также</w:t>
      </w:r>
      <w:r w:rsidR="00806D33">
        <w:t xml:space="preserve"> как</w:t>
      </w:r>
      <w:r w:rsidR="00A55FDF">
        <w:t xml:space="preserve"> </w:t>
      </w:r>
      <w:r w:rsidR="00696CD2">
        <w:t xml:space="preserve">и Реселлеры </w:t>
      </w:r>
      <w:r w:rsidR="00A55FDF">
        <w:t xml:space="preserve">могут </w:t>
      </w:r>
      <w:r w:rsidR="00A577E9">
        <w:t xml:space="preserve">осуществлять розничную продажу </w:t>
      </w:r>
      <w:r w:rsidR="00DC6D3E">
        <w:t>продукци</w:t>
      </w:r>
      <w:r w:rsidR="00A577E9">
        <w:t>и</w:t>
      </w:r>
      <w:r w:rsidR="00DC6D3E">
        <w:t xml:space="preserve"> Конечным потребителям</w:t>
      </w:r>
      <w:r w:rsidR="00741106">
        <w:t>, а Реселлеры в свою очередь могут иметь собственно</w:t>
      </w:r>
      <w:r w:rsidR="001665DA">
        <w:t>е</w:t>
      </w:r>
      <w:r w:rsidR="00741106">
        <w:t xml:space="preserve"> производство товаров, аналогичных продукции </w:t>
      </w:r>
      <w:r>
        <w:t>Поставщика</w:t>
      </w:r>
      <w:r w:rsidR="00DC6D3E">
        <w:t xml:space="preserve">. В связи с этим при </w:t>
      </w:r>
      <w:r w:rsidR="008A49C7">
        <w:t>анализ</w:t>
      </w:r>
      <w:r w:rsidR="00DC6D3E">
        <w:t>е</w:t>
      </w:r>
      <w:r w:rsidR="008A49C7">
        <w:t xml:space="preserve"> </w:t>
      </w:r>
      <w:r w:rsidR="00DC6D3E">
        <w:t xml:space="preserve">возможного </w:t>
      </w:r>
      <w:r w:rsidR="008A49C7">
        <w:t xml:space="preserve">присутствия </w:t>
      </w:r>
      <w:r>
        <w:t>Поставщика</w:t>
      </w:r>
      <w:r w:rsidR="008A49C7">
        <w:t xml:space="preserve"> и Реселлеров на одном или на разных</w:t>
      </w:r>
      <w:r w:rsidR="00806D33">
        <w:t xml:space="preserve"> товарных</w:t>
      </w:r>
      <w:r w:rsidR="008A49C7">
        <w:t xml:space="preserve"> рынках следует учитывать ряд факторов, характеризующих </w:t>
      </w:r>
      <w:r w:rsidR="00806D33">
        <w:t xml:space="preserve">товарный </w:t>
      </w:r>
      <w:r w:rsidR="008A49C7">
        <w:t xml:space="preserve">рынок, специфику деятельности </w:t>
      </w:r>
      <w:r w:rsidR="0089539B">
        <w:t xml:space="preserve">Поставщика и Реселлеров </w:t>
      </w:r>
      <w:r w:rsidR="00180274">
        <w:t>на нем</w:t>
      </w:r>
      <w:r w:rsidR="008A49C7">
        <w:t xml:space="preserve">, факторы, влияющие на поведение </w:t>
      </w:r>
      <w:r w:rsidR="00DC6D3E">
        <w:t>Конечных потребителей</w:t>
      </w:r>
      <w:r w:rsidR="008A49C7">
        <w:t>, в том числе следующие факторы:</w:t>
      </w:r>
    </w:p>
    <w:p w14:paraId="192CBF98" w14:textId="77777777" w:rsidR="00E65F89" w:rsidRDefault="00E65F89" w:rsidP="008A49C7">
      <w:pPr>
        <w:spacing w:after="0" w:line="240" w:lineRule="auto"/>
        <w:ind w:left="709"/>
        <w:jc w:val="both"/>
      </w:pPr>
    </w:p>
    <w:p w14:paraId="087710E9" w14:textId="6EB8AB32" w:rsidR="00E65F89" w:rsidRDefault="008A49C7" w:rsidP="008A49C7">
      <w:pPr>
        <w:spacing w:after="0" w:line="240" w:lineRule="auto"/>
        <w:ind w:left="709"/>
        <w:jc w:val="both"/>
      </w:pPr>
      <w:r>
        <w:t>(</w:t>
      </w:r>
      <w:r w:rsidR="00E35EE0">
        <w:t>а</w:t>
      </w:r>
      <w:r>
        <w:t>) различия в ассортименте</w:t>
      </w:r>
      <w:r w:rsidR="00E35EE0">
        <w:t xml:space="preserve"> </w:t>
      </w:r>
      <w:r w:rsidR="00141E74">
        <w:t xml:space="preserve">товаров </w:t>
      </w:r>
      <w:r w:rsidR="0076551D">
        <w:t>Поставщика</w:t>
      </w:r>
      <w:r w:rsidR="00E35EE0">
        <w:t xml:space="preserve"> и Реселлеров</w:t>
      </w:r>
      <w:r>
        <w:t xml:space="preserve"> (широкий ассортимент </w:t>
      </w:r>
      <w:r w:rsidR="00141E74">
        <w:t xml:space="preserve">товаров </w:t>
      </w:r>
      <w:r>
        <w:t>или</w:t>
      </w:r>
      <w:r w:rsidRPr="006742AD">
        <w:t xml:space="preserve"> </w:t>
      </w:r>
      <w:r>
        <w:t>отдельные артикулы одного бренда)</w:t>
      </w:r>
      <w:r w:rsidR="00141E74">
        <w:rPr>
          <w:rStyle w:val="ad"/>
        </w:rPr>
        <w:footnoteReference w:id="2"/>
      </w:r>
      <w:r>
        <w:t xml:space="preserve">; </w:t>
      </w:r>
    </w:p>
    <w:p w14:paraId="08C17113" w14:textId="77777777" w:rsidR="00E65F89" w:rsidRDefault="00E65F89" w:rsidP="008A49C7">
      <w:pPr>
        <w:spacing w:after="0" w:line="240" w:lineRule="auto"/>
        <w:ind w:left="709"/>
        <w:jc w:val="both"/>
      </w:pPr>
    </w:p>
    <w:p w14:paraId="404A93B8" w14:textId="73E3E4FB" w:rsidR="00E65F89" w:rsidRDefault="008A49C7" w:rsidP="008A49C7">
      <w:pPr>
        <w:spacing w:after="0" w:line="240" w:lineRule="auto"/>
        <w:ind w:left="709"/>
        <w:jc w:val="both"/>
      </w:pPr>
      <w:r>
        <w:t>(</w:t>
      </w:r>
      <w:r w:rsidR="00E35EE0">
        <w:t>б</w:t>
      </w:r>
      <w:r>
        <w:t xml:space="preserve">) формат торговли (торговля с использованием </w:t>
      </w:r>
      <w:r w:rsidR="00FA2B76">
        <w:t xml:space="preserve">универсальных </w:t>
      </w:r>
      <w:r>
        <w:t>торговых объектов</w:t>
      </w:r>
      <w:r w:rsidR="00FA2B76">
        <w:t xml:space="preserve">, специализированных торговых объектов </w:t>
      </w:r>
      <w:r>
        <w:t xml:space="preserve">либо торговля </w:t>
      </w:r>
      <w:r w:rsidR="00537A42">
        <w:t xml:space="preserve">только </w:t>
      </w:r>
      <w:r>
        <w:t>через информационно-телекоммуникационную сеть Интернет)</w:t>
      </w:r>
      <w:r w:rsidR="002D704C">
        <w:rPr>
          <w:rStyle w:val="ad"/>
        </w:rPr>
        <w:footnoteReference w:id="3"/>
      </w:r>
      <w:r>
        <w:t xml:space="preserve">; </w:t>
      </w:r>
    </w:p>
    <w:p w14:paraId="2C7A5D16" w14:textId="77777777" w:rsidR="00E65F89" w:rsidRDefault="00E65F89" w:rsidP="008A49C7">
      <w:pPr>
        <w:spacing w:after="0" w:line="240" w:lineRule="auto"/>
        <w:ind w:left="709"/>
        <w:jc w:val="both"/>
      </w:pPr>
    </w:p>
    <w:p w14:paraId="6152C8D4" w14:textId="2F53EF23" w:rsidR="008A49C7" w:rsidRDefault="008A49C7" w:rsidP="008A49C7">
      <w:pPr>
        <w:spacing w:after="0" w:line="240" w:lineRule="auto"/>
        <w:ind w:left="709"/>
        <w:jc w:val="both"/>
      </w:pPr>
      <w:r>
        <w:t>(</w:t>
      </w:r>
      <w:r w:rsidR="00D50620">
        <w:t>в</w:t>
      </w:r>
      <w:r>
        <w:t xml:space="preserve">) </w:t>
      </w:r>
      <w:r w:rsidR="00D301DB">
        <w:t xml:space="preserve">целевая аудитория </w:t>
      </w:r>
      <w:r w:rsidR="006623A6">
        <w:t xml:space="preserve">товаров среди </w:t>
      </w:r>
      <w:r w:rsidR="00D301DB">
        <w:t xml:space="preserve">Конечных потребителей </w:t>
      </w:r>
      <w:r>
        <w:t>(</w:t>
      </w:r>
      <w:r w:rsidR="00D301DB">
        <w:t xml:space="preserve">продажа широкой аудитории Конечных потребителей или </w:t>
      </w:r>
      <w:r w:rsidR="00537A42">
        <w:t>обособленной</w:t>
      </w:r>
      <w:r w:rsidR="00E833B1">
        <w:t xml:space="preserve"> </w:t>
      </w:r>
      <w:r w:rsidR="00D301DB">
        <w:t>категории Конечных потребителей</w:t>
      </w:r>
      <w:r w:rsidR="00E444E4">
        <w:t xml:space="preserve">, имеющей </w:t>
      </w:r>
      <w:r w:rsidR="00E833B1">
        <w:t>определенную потребительскую специфику</w:t>
      </w:r>
      <w:r w:rsidR="004D22CC">
        <w:t>, включая специальные условия покупки товаров</w:t>
      </w:r>
      <w:r>
        <w:t>)</w:t>
      </w:r>
      <w:r w:rsidR="00D50620">
        <w:rPr>
          <w:rStyle w:val="ad"/>
        </w:rPr>
        <w:footnoteReference w:id="4"/>
      </w:r>
      <w:r w:rsidR="00E65F89">
        <w:t>;</w:t>
      </w:r>
    </w:p>
    <w:p w14:paraId="0D5E45D2" w14:textId="74A947C7" w:rsidR="00D50620" w:rsidRDefault="00D50620" w:rsidP="008A49C7">
      <w:pPr>
        <w:spacing w:after="0" w:line="240" w:lineRule="auto"/>
        <w:ind w:left="709"/>
        <w:jc w:val="both"/>
      </w:pPr>
    </w:p>
    <w:p w14:paraId="5D3CC4C4" w14:textId="3C3F9DFA" w:rsidR="00D50620" w:rsidRDefault="00D50620" w:rsidP="00D50620">
      <w:pPr>
        <w:spacing w:after="0" w:line="240" w:lineRule="auto"/>
        <w:ind w:left="709"/>
        <w:jc w:val="both"/>
      </w:pPr>
      <w:r>
        <w:t>(г) география продаж (вся территория РФ или отдельные субъекты РФ, муниципальные образования)</w:t>
      </w:r>
      <w:r>
        <w:rPr>
          <w:rStyle w:val="ad"/>
        </w:rPr>
        <w:footnoteReference w:id="5"/>
      </w:r>
      <w:r>
        <w:t>;</w:t>
      </w:r>
    </w:p>
    <w:p w14:paraId="5F3DE4DE" w14:textId="6481FBDA" w:rsidR="00E65F89" w:rsidRDefault="00E65F89" w:rsidP="008A49C7">
      <w:pPr>
        <w:spacing w:after="0" w:line="240" w:lineRule="auto"/>
        <w:ind w:left="709"/>
        <w:jc w:val="both"/>
      </w:pPr>
    </w:p>
    <w:p w14:paraId="1487C734" w14:textId="547550D2" w:rsidR="0015607B" w:rsidRDefault="00E65F89" w:rsidP="0015607B">
      <w:pPr>
        <w:spacing w:after="0" w:line="240" w:lineRule="auto"/>
        <w:ind w:left="709"/>
        <w:jc w:val="both"/>
      </w:pPr>
      <w:r>
        <w:lastRenderedPageBreak/>
        <w:t xml:space="preserve">(д) </w:t>
      </w:r>
      <w:r w:rsidR="00CC4A8F">
        <w:t>осуществление</w:t>
      </w:r>
      <w:r>
        <w:t xml:space="preserve"> Реселлер</w:t>
      </w:r>
      <w:r w:rsidR="00CC4A8F">
        <w:t>ом</w:t>
      </w:r>
      <w:r>
        <w:t xml:space="preserve"> </w:t>
      </w:r>
      <w:r w:rsidR="009C0D9C">
        <w:t>собс</w:t>
      </w:r>
      <w:r w:rsidR="00CC4A8F">
        <w:t xml:space="preserve">твенного производства товаров, </w:t>
      </w:r>
      <w:r w:rsidR="00CC4A8F" w:rsidRPr="00CC4A8F">
        <w:t>взаимозаменяемых с продукцией</w:t>
      </w:r>
      <w:r w:rsidR="00A31815">
        <w:t>, реализуемой</w:t>
      </w:r>
      <w:r w:rsidR="00CC4A8F" w:rsidRPr="00CC4A8F">
        <w:t xml:space="preserve"> </w:t>
      </w:r>
      <w:r w:rsidR="0076551D">
        <w:t>Поставщик</w:t>
      </w:r>
      <w:r w:rsidR="00A31815">
        <w:t>ом</w:t>
      </w:r>
      <w:r w:rsidR="00CC4A8F">
        <w:t>.</w:t>
      </w:r>
      <w:r w:rsidR="000F6E95">
        <w:rPr>
          <w:rStyle w:val="ad"/>
        </w:rPr>
        <w:footnoteReference w:id="6"/>
      </w:r>
      <w:r w:rsidR="00CC4A8F">
        <w:t xml:space="preserve"> </w:t>
      </w:r>
      <w:r w:rsidR="0015607B">
        <w:t xml:space="preserve">При этом таким </w:t>
      </w:r>
      <w:r w:rsidR="00160760">
        <w:t>производством</w:t>
      </w:r>
      <w:r w:rsidR="0015607B">
        <w:t xml:space="preserve"> </w:t>
      </w:r>
      <w:r w:rsidR="007A5175">
        <w:t xml:space="preserve">не являются случаи </w:t>
      </w:r>
      <w:r w:rsidR="007A5F52" w:rsidRPr="007A5F52">
        <w:t>производства по заказу Реселлеров у сторонних производителей товаров</w:t>
      </w:r>
      <w:r w:rsidR="0015607B">
        <w:t>, на которые нанесены товарные знаки, права на которые принадлежат Реселлерам или аффилированным с Реселлерами хозяйствующим субъектам.</w:t>
      </w:r>
    </w:p>
    <w:p w14:paraId="0E9AAAD9" w14:textId="77777777" w:rsidR="0015607B" w:rsidRDefault="0015607B" w:rsidP="008A49C7">
      <w:pPr>
        <w:spacing w:after="0" w:line="240" w:lineRule="auto"/>
        <w:ind w:left="709"/>
        <w:jc w:val="both"/>
      </w:pPr>
    </w:p>
    <w:p w14:paraId="6A29F4FF" w14:textId="3F462EBD" w:rsidR="00486260" w:rsidRPr="00FA6078" w:rsidRDefault="006315FA" w:rsidP="006315FA">
      <w:pPr>
        <w:pStyle w:val="a3"/>
        <w:numPr>
          <w:ilvl w:val="0"/>
          <w:numId w:val="7"/>
        </w:numPr>
        <w:spacing w:after="0" w:line="240" w:lineRule="auto"/>
        <w:jc w:val="both"/>
        <w:rPr>
          <w:i/>
          <w:iCs/>
        </w:rPr>
      </w:pPr>
      <w:r w:rsidRPr="00FA6078">
        <w:rPr>
          <w:i/>
          <w:iCs/>
        </w:rPr>
        <w:t>Ф</w:t>
      </w:r>
      <w:r w:rsidR="0045125E" w:rsidRPr="00FA6078">
        <w:rPr>
          <w:i/>
          <w:iCs/>
        </w:rPr>
        <w:t>актическое наступление в результате</w:t>
      </w:r>
      <w:r w:rsidR="00E6080B">
        <w:rPr>
          <w:i/>
          <w:iCs/>
        </w:rPr>
        <w:t xml:space="preserve"> Ценовой</w:t>
      </w:r>
      <w:r w:rsidR="0045125E" w:rsidRPr="00FA6078">
        <w:rPr>
          <w:i/>
          <w:iCs/>
        </w:rPr>
        <w:t xml:space="preserve"> координации </w:t>
      </w:r>
      <w:proofErr w:type="spellStart"/>
      <w:r w:rsidR="0045125E" w:rsidRPr="00FA6078">
        <w:rPr>
          <w:i/>
          <w:iCs/>
        </w:rPr>
        <w:t>антиконкурентного</w:t>
      </w:r>
      <w:proofErr w:type="spellEnd"/>
      <w:r w:rsidR="0045125E" w:rsidRPr="00FA6078">
        <w:rPr>
          <w:i/>
          <w:iCs/>
        </w:rPr>
        <w:t xml:space="preserve"> последствия в виде установления или поддержания цен (тарифов), скидок, надбавок (доплат) и (или) наценок</w:t>
      </w:r>
      <w:r w:rsidRPr="00FA6078">
        <w:rPr>
          <w:i/>
          <w:iCs/>
        </w:rPr>
        <w:t>.</w:t>
      </w:r>
    </w:p>
    <w:p w14:paraId="73766317" w14:textId="57F3142A" w:rsidR="00486260" w:rsidRDefault="00486260" w:rsidP="00C73F33">
      <w:pPr>
        <w:spacing w:after="0" w:line="240" w:lineRule="auto"/>
        <w:jc w:val="both"/>
      </w:pPr>
    </w:p>
    <w:p w14:paraId="01664B8B" w14:textId="6AAA88EA" w:rsidR="006968B0" w:rsidRPr="00D947F5" w:rsidRDefault="006968B0" w:rsidP="006968B0">
      <w:pPr>
        <w:spacing w:after="0" w:line="240" w:lineRule="auto"/>
        <w:ind w:left="709"/>
        <w:jc w:val="both"/>
        <w:rPr>
          <w:bCs/>
        </w:rPr>
      </w:pPr>
      <w:r>
        <w:t>Данн</w:t>
      </w:r>
      <w:r w:rsidR="00FB3878">
        <w:t>ый</w:t>
      </w:r>
      <w:r>
        <w:t xml:space="preserve"> </w:t>
      </w:r>
      <w:r w:rsidR="00FB3878">
        <w:t xml:space="preserve">признак </w:t>
      </w:r>
      <w:r>
        <w:t xml:space="preserve">Ценовой координации означает, что только </w:t>
      </w:r>
      <w:r>
        <w:rPr>
          <w:bCs/>
        </w:rPr>
        <w:t xml:space="preserve">возможности или вероятности </w:t>
      </w:r>
      <w:r w:rsidRPr="00D947F5">
        <w:rPr>
          <w:bCs/>
        </w:rPr>
        <w:t xml:space="preserve">наступления </w:t>
      </w:r>
      <w:r w:rsidRPr="006968B0">
        <w:t>негативного</w:t>
      </w:r>
      <w:r w:rsidRPr="00D947F5">
        <w:rPr>
          <w:bCs/>
        </w:rPr>
        <w:t xml:space="preserve"> последствия в виде установления либо поддержания цен согласно части 5 статьи 11 Закона о защите конкуренции недостаточно для того, чтобы признать действия хозяйствующего субъекта Ценовой координацией.</w:t>
      </w:r>
      <w:r>
        <w:rPr>
          <w:bCs/>
        </w:rPr>
        <w:t xml:space="preserve"> Долж</w:t>
      </w:r>
      <w:r w:rsidR="00FA6078">
        <w:rPr>
          <w:bCs/>
        </w:rPr>
        <w:t xml:space="preserve">ны </w:t>
      </w:r>
      <w:r w:rsidR="00EF4156">
        <w:rPr>
          <w:bCs/>
        </w:rPr>
        <w:t xml:space="preserve">в действительности </w:t>
      </w:r>
      <w:r w:rsidR="00FB3878">
        <w:rPr>
          <w:bCs/>
        </w:rPr>
        <w:t xml:space="preserve">наступить </w:t>
      </w:r>
      <w:r w:rsidR="00FA6078">
        <w:rPr>
          <w:bCs/>
        </w:rPr>
        <w:t>последствия, предусмотренные в части 1 статьи 11 Закона о защите конкуренции.</w:t>
      </w:r>
    </w:p>
    <w:p w14:paraId="27685DBE" w14:textId="77777777" w:rsidR="006315FA" w:rsidRPr="00FA6078" w:rsidRDefault="006315FA" w:rsidP="00FA6078">
      <w:pPr>
        <w:pStyle w:val="a3"/>
        <w:spacing w:after="0" w:line="240" w:lineRule="auto"/>
        <w:jc w:val="both"/>
        <w:rPr>
          <w:i/>
          <w:iCs/>
        </w:rPr>
      </w:pPr>
    </w:p>
    <w:p w14:paraId="1F526D97" w14:textId="7B6D64E1" w:rsidR="00933C21" w:rsidRPr="00FA6078" w:rsidRDefault="00FA6078" w:rsidP="00FA6078">
      <w:pPr>
        <w:pStyle w:val="a3"/>
        <w:numPr>
          <w:ilvl w:val="0"/>
          <w:numId w:val="7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>О</w:t>
      </w:r>
      <w:r w:rsidR="0045125E" w:rsidRPr="00FA6078">
        <w:rPr>
          <w:i/>
          <w:iCs/>
        </w:rPr>
        <w:t>существление Ценовой координации</w:t>
      </w:r>
      <w:r w:rsidR="009C0B56" w:rsidRPr="00FA6078">
        <w:rPr>
          <w:i/>
          <w:iCs/>
        </w:rPr>
        <w:t xml:space="preserve"> происходит</w:t>
      </w:r>
      <w:r w:rsidR="0045125E" w:rsidRPr="00FA6078">
        <w:rPr>
          <w:i/>
          <w:iCs/>
        </w:rPr>
        <w:t xml:space="preserve"> вне рамок «вертикальных» соглашений</w:t>
      </w:r>
      <w:r w:rsidR="0044309D" w:rsidRPr="00FA6078">
        <w:rPr>
          <w:i/>
          <w:iCs/>
        </w:rPr>
        <w:t>.</w:t>
      </w:r>
    </w:p>
    <w:p w14:paraId="0DEB93C1" w14:textId="77777777" w:rsidR="0044309D" w:rsidRDefault="0044309D" w:rsidP="00C73F33">
      <w:pPr>
        <w:pStyle w:val="a3"/>
        <w:spacing w:after="0" w:line="240" w:lineRule="auto"/>
        <w:ind w:left="1440"/>
        <w:contextualSpacing w:val="0"/>
        <w:jc w:val="both"/>
      </w:pPr>
    </w:p>
    <w:p w14:paraId="23F5D46A" w14:textId="027BE952" w:rsidR="00743DB7" w:rsidRDefault="0044309D" w:rsidP="006D5944">
      <w:pPr>
        <w:spacing w:after="0" w:line="240" w:lineRule="auto"/>
        <w:ind w:left="709"/>
        <w:jc w:val="both"/>
      </w:pPr>
      <w:r>
        <w:t xml:space="preserve">Под «вертикальным» соглашением согласно пункту 19 статьи 4 Закона о защите конкуренции понимается </w:t>
      </w:r>
      <w:r w:rsidRPr="0044309D">
        <w:t>соглашение между хозяйствующими субъектами, один из которых приобретает товар, а другой предоставляет (продает) товар</w:t>
      </w:r>
      <w:r>
        <w:t>.</w:t>
      </w:r>
    </w:p>
    <w:p w14:paraId="42E92831" w14:textId="77777777" w:rsidR="00121579" w:rsidRDefault="00121579" w:rsidP="006D5944">
      <w:pPr>
        <w:spacing w:after="0" w:line="240" w:lineRule="auto"/>
        <w:ind w:left="709"/>
        <w:jc w:val="both"/>
      </w:pPr>
    </w:p>
    <w:p w14:paraId="57785C55" w14:textId="769CF1F2" w:rsidR="009176C0" w:rsidRPr="009176C0" w:rsidRDefault="00185D2F" w:rsidP="009176C0">
      <w:pPr>
        <w:spacing w:after="0" w:line="240" w:lineRule="auto"/>
        <w:ind w:left="709"/>
        <w:jc w:val="both"/>
      </w:pPr>
      <w:r w:rsidRPr="00185D2F">
        <w:t xml:space="preserve">Учитывая, что согласно пункту 18 статьи 4 Закона о защите конкуренции соглашение </w:t>
      </w:r>
      <w:r w:rsidR="00D2031B">
        <w:t xml:space="preserve">между хозяйствующими субъектами может выражаться как в письменной, так и в устной форме, «вертикальные» соглашения также могут быть заключены </w:t>
      </w:r>
      <w:r w:rsidR="000A2D7D">
        <w:t xml:space="preserve">и </w:t>
      </w:r>
      <w:r w:rsidR="00D2031B">
        <w:t>в устной форме в случае, если</w:t>
      </w:r>
      <w:r w:rsidR="0074196E">
        <w:t xml:space="preserve"> они опосредуют переход права собственности на товар от продавца к покупателю.</w:t>
      </w:r>
      <w:r w:rsidR="000A2D7D">
        <w:t xml:space="preserve"> </w:t>
      </w:r>
    </w:p>
    <w:p w14:paraId="2FDD0114" w14:textId="77777777" w:rsidR="009176C0" w:rsidRDefault="009176C0" w:rsidP="00185D2F">
      <w:pPr>
        <w:spacing w:after="0" w:line="240" w:lineRule="auto"/>
        <w:ind w:left="709"/>
        <w:jc w:val="both"/>
      </w:pPr>
    </w:p>
    <w:p w14:paraId="396D47F8" w14:textId="0B05B775" w:rsidR="00460453" w:rsidRDefault="000A2D7D" w:rsidP="00460453">
      <w:pPr>
        <w:spacing w:after="0" w:line="240" w:lineRule="auto"/>
        <w:ind w:left="709"/>
        <w:jc w:val="both"/>
      </w:pPr>
      <w:r>
        <w:t xml:space="preserve">Соответственно, </w:t>
      </w:r>
      <w:r w:rsidR="009176C0" w:rsidRPr="009176C0">
        <w:t xml:space="preserve">устные </w:t>
      </w:r>
      <w:r w:rsidR="00FF076E">
        <w:t>договоренности</w:t>
      </w:r>
      <w:r w:rsidR="002A7A97">
        <w:t xml:space="preserve"> между </w:t>
      </w:r>
      <w:r w:rsidR="0076551D">
        <w:t>Поставщиком</w:t>
      </w:r>
      <w:r w:rsidR="002A7A97">
        <w:t xml:space="preserve"> и </w:t>
      </w:r>
      <w:r w:rsidR="000F6CFE">
        <w:t xml:space="preserve">Прямым </w:t>
      </w:r>
      <w:r w:rsidR="002A7A97">
        <w:t>Реселлер</w:t>
      </w:r>
      <w:r w:rsidR="002B45C2">
        <w:t>ом</w:t>
      </w:r>
      <w:r w:rsidR="00FF076E">
        <w:t xml:space="preserve">, </w:t>
      </w:r>
      <w:r w:rsidR="00460453">
        <w:t xml:space="preserve">связанные с передачей товара от одного лица другому, </w:t>
      </w:r>
      <w:r w:rsidR="00853C08">
        <w:t xml:space="preserve">рассматриваются </w:t>
      </w:r>
      <w:r w:rsidR="00460453">
        <w:t>в качестве «вертикальных» соглашений</w:t>
      </w:r>
      <w:r w:rsidR="00853C08">
        <w:t xml:space="preserve">. К таким договоренностям относятся и договоренности </w:t>
      </w:r>
      <w:r w:rsidR="002479C3">
        <w:t xml:space="preserve">между </w:t>
      </w:r>
      <w:r w:rsidR="0076551D">
        <w:t>Поставщиком</w:t>
      </w:r>
      <w:r w:rsidR="002479C3">
        <w:t xml:space="preserve"> </w:t>
      </w:r>
      <w:r w:rsidR="002B45C2">
        <w:t xml:space="preserve">и </w:t>
      </w:r>
      <w:r w:rsidR="002479C3">
        <w:t>Прямым Реселлер</w:t>
      </w:r>
      <w:r w:rsidR="002B45C2">
        <w:t>ом</w:t>
      </w:r>
      <w:r w:rsidR="004905CD">
        <w:t xml:space="preserve"> или Дистрибьютором</w:t>
      </w:r>
      <w:r w:rsidR="002B45C2">
        <w:t xml:space="preserve"> об установлении </w:t>
      </w:r>
      <w:r w:rsidR="00A153CA">
        <w:t xml:space="preserve">розничной цены на товары, произведенные </w:t>
      </w:r>
      <w:r w:rsidR="0076551D">
        <w:t>Поставщиком</w:t>
      </w:r>
      <w:r w:rsidR="00593904">
        <w:t xml:space="preserve"> и переданные им Прямому Реселлеру</w:t>
      </w:r>
      <w:r w:rsidR="00171660">
        <w:t xml:space="preserve"> </w:t>
      </w:r>
      <w:r w:rsidR="004905CD">
        <w:t xml:space="preserve">или Дистрибьютору </w:t>
      </w:r>
      <w:r w:rsidR="00171660">
        <w:t>по договору поставки или купли-продажи</w:t>
      </w:r>
      <w:r w:rsidR="00A153CA">
        <w:t>.</w:t>
      </w:r>
    </w:p>
    <w:p w14:paraId="084B2E50" w14:textId="77777777" w:rsidR="00FF076E" w:rsidRDefault="00FF076E" w:rsidP="00185D2F">
      <w:pPr>
        <w:spacing w:after="0" w:line="240" w:lineRule="auto"/>
        <w:ind w:left="709"/>
        <w:jc w:val="both"/>
      </w:pPr>
    </w:p>
    <w:p w14:paraId="239786B2" w14:textId="4EB95981" w:rsidR="00965361" w:rsidRDefault="00965361" w:rsidP="00965361">
      <w:pPr>
        <w:spacing w:after="0" w:line="240" w:lineRule="auto"/>
        <w:ind w:left="709"/>
        <w:jc w:val="both"/>
      </w:pPr>
      <w:r>
        <w:t xml:space="preserve">Если Реселлер приобретает продукцию не у </w:t>
      </w:r>
      <w:r w:rsidR="0076551D">
        <w:t>Поставщика</w:t>
      </w:r>
      <w:r>
        <w:t xml:space="preserve">, а у другого лица, в частности Дистрибьютора, </w:t>
      </w:r>
      <w:r w:rsidR="00E626D2">
        <w:t xml:space="preserve">двусторонние </w:t>
      </w:r>
      <w:r w:rsidR="002631CE">
        <w:t>договоренности</w:t>
      </w:r>
      <w:r>
        <w:t xml:space="preserve"> между </w:t>
      </w:r>
      <w:r w:rsidR="002D1DF1">
        <w:t xml:space="preserve">таким </w:t>
      </w:r>
      <w:r>
        <w:t>Реселлером</w:t>
      </w:r>
      <w:r w:rsidR="00593904">
        <w:t xml:space="preserve"> (не Прямым Реселлером)</w:t>
      </w:r>
      <w:r>
        <w:t xml:space="preserve"> и </w:t>
      </w:r>
      <w:r w:rsidR="0076551D">
        <w:t>Поставщиком</w:t>
      </w:r>
      <w:r>
        <w:t xml:space="preserve"> </w:t>
      </w:r>
      <w:r w:rsidR="002631CE">
        <w:t xml:space="preserve">об установлении розничных цен на </w:t>
      </w:r>
      <w:r w:rsidR="00171660">
        <w:t>товары</w:t>
      </w:r>
      <w:r w:rsidR="002631CE">
        <w:t>, произведенн</w:t>
      </w:r>
      <w:r w:rsidR="00171660">
        <w:t>ые</w:t>
      </w:r>
      <w:r w:rsidR="002631CE">
        <w:t xml:space="preserve"> </w:t>
      </w:r>
      <w:r w:rsidR="0076551D">
        <w:t>Поставщиком</w:t>
      </w:r>
      <w:r w:rsidR="002631CE">
        <w:t xml:space="preserve">, </w:t>
      </w:r>
      <w:r>
        <w:t xml:space="preserve">не следует рассматривать в контексте «вертикальных» соглашений. </w:t>
      </w:r>
      <w:r w:rsidR="002D1DF1">
        <w:t xml:space="preserve">В этой связи </w:t>
      </w:r>
      <w:r>
        <w:t xml:space="preserve">не следует рассматривать в контексте «вертикальных» соглашений </w:t>
      </w:r>
      <w:r w:rsidR="00171660">
        <w:t xml:space="preserve">аналогичные </w:t>
      </w:r>
      <w:r w:rsidR="005A7BEF">
        <w:t xml:space="preserve">двусторонние </w:t>
      </w:r>
      <w:r w:rsidR="00171660">
        <w:t xml:space="preserve">договоренности </w:t>
      </w:r>
      <w:r>
        <w:t xml:space="preserve">между </w:t>
      </w:r>
      <w:r w:rsidR="0076551D">
        <w:t>Поставщиком</w:t>
      </w:r>
      <w:r>
        <w:t xml:space="preserve"> и </w:t>
      </w:r>
      <w:r w:rsidR="00004BE6">
        <w:t xml:space="preserve">несколькими </w:t>
      </w:r>
      <w:r>
        <w:t>Реселлер</w:t>
      </w:r>
      <w:r w:rsidR="00004BE6">
        <w:t>ами (с каждым в отдельности)</w:t>
      </w:r>
      <w:r>
        <w:t xml:space="preserve">, часть из которых являются </w:t>
      </w:r>
      <w:r w:rsidR="002D1DF1">
        <w:t>П</w:t>
      </w:r>
      <w:r>
        <w:t xml:space="preserve">рямыми </w:t>
      </w:r>
      <w:r w:rsidR="003A2212">
        <w:t>Реселлерами</w:t>
      </w:r>
      <w:r>
        <w:t>, а часть – приобретают товар у третьих лиц (</w:t>
      </w:r>
      <w:r w:rsidR="003E3CDE">
        <w:t xml:space="preserve">например, </w:t>
      </w:r>
      <w:r>
        <w:t>Дистрибьюторов)</w:t>
      </w:r>
      <w:r w:rsidR="003E3CDE">
        <w:rPr>
          <w:rStyle w:val="ad"/>
        </w:rPr>
        <w:footnoteReference w:id="7"/>
      </w:r>
      <w:r w:rsidR="003E3CDE">
        <w:t xml:space="preserve">. </w:t>
      </w:r>
      <w:r w:rsidR="0027668B">
        <w:t xml:space="preserve">Это связано с тем, что </w:t>
      </w:r>
      <w:r w:rsidR="003A2212">
        <w:t xml:space="preserve">в </w:t>
      </w:r>
      <w:r w:rsidR="00DE1606">
        <w:t xml:space="preserve">данной </w:t>
      </w:r>
      <w:r w:rsidR="003A2212">
        <w:t>ситуаци</w:t>
      </w:r>
      <w:r w:rsidR="00F916AF">
        <w:t>и</w:t>
      </w:r>
      <w:r w:rsidR="003A2212">
        <w:t xml:space="preserve"> </w:t>
      </w:r>
      <w:r w:rsidR="0076551D">
        <w:t>Поставщик</w:t>
      </w:r>
      <w:r w:rsidR="003A2212">
        <w:t xml:space="preserve"> </w:t>
      </w:r>
      <w:r w:rsidR="00392914">
        <w:t xml:space="preserve">действует вне рамок «вертикальных» соглашений и </w:t>
      </w:r>
      <w:r w:rsidR="00976A95">
        <w:t>преследует единую цель по координации ценового поведения Реселлеров и выравнивания цен на розничном рынке</w:t>
      </w:r>
      <w:r w:rsidR="003A2212">
        <w:t xml:space="preserve"> в целом</w:t>
      </w:r>
      <w:r w:rsidR="00976A95">
        <w:t xml:space="preserve"> независимо от способа поставок продукции Реселлерам (напрямую </w:t>
      </w:r>
      <w:r w:rsidR="00EB406C">
        <w:t xml:space="preserve">от </w:t>
      </w:r>
      <w:r w:rsidR="0076551D">
        <w:t>Поставщика</w:t>
      </w:r>
      <w:r w:rsidR="00EB406C">
        <w:t xml:space="preserve"> </w:t>
      </w:r>
      <w:r w:rsidR="00976A95">
        <w:t xml:space="preserve">либо через </w:t>
      </w:r>
      <w:r w:rsidR="00EB406C">
        <w:t xml:space="preserve">третьих лиц, например, </w:t>
      </w:r>
      <w:r w:rsidR="00976A95">
        <w:t>Дистрибьютор</w:t>
      </w:r>
      <w:r w:rsidR="00EB406C">
        <w:t>ов</w:t>
      </w:r>
      <w:r w:rsidR="00976A95">
        <w:t>).</w:t>
      </w:r>
      <w:r w:rsidR="00CB6908">
        <w:t xml:space="preserve"> В такой ситуации отдельные </w:t>
      </w:r>
      <w:r w:rsidR="00CB6908">
        <w:lastRenderedPageBreak/>
        <w:t xml:space="preserve">отношения </w:t>
      </w:r>
      <w:r w:rsidR="0076551D">
        <w:t>Поставщика</w:t>
      </w:r>
      <w:r w:rsidR="00CB6908">
        <w:t xml:space="preserve"> с </w:t>
      </w:r>
      <w:r w:rsidR="00EB406C">
        <w:t>П</w:t>
      </w:r>
      <w:r w:rsidR="00CB6908">
        <w:t xml:space="preserve">рямыми Реселлерами следует рассматривать вне рамок запрета на запрещенные </w:t>
      </w:r>
      <w:r w:rsidR="00F916AF">
        <w:t>«</w:t>
      </w:r>
      <w:r w:rsidR="00CB6908">
        <w:t>вертикальные</w:t>
      </w:r>
      <w:r w:rsidR="00F916AF">
        <w:t>»</w:t>
      </w:r>
      <w:r w:rsidR="00CB6908">
        <w:t xml:space="preserve"> соглашения</w:t>
      </w:r>
      <w:r w:rsidR="00DE1606">
        <w:t>, а как часть Ценовой координации</w:t>
      </w:r>
      <w:r w:rsidR="00CB6908">
        <w:t>.</w:t>
      </w:r>
    </w:p>
    <w:p w14:paraId="1168C679" w14:textId="77777777" w:rsidR="00965361" w:rsidRDefault="00965361" w:rsidP="00965361">
      <w:pPr>
        <w:spacing w:after="0" w:line="240" w:lineRule="auto"/>
        <w:ind w:left="709"/>
        <w:jc w:val="both"/>
      </w:pPr>
    </w:p>
    <w:p w14:paraId="4AC7C54B" w14:textId="48DD0E17" w:rsidR="005816D6" w:rsidRPr="00F45645" w:rsidRDefault="001F6CC1" w:rsidP="00C73F33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b/>
          <w:caps/>
        </w:rPr>
      </w:pPr>
      <w:r>
        <w:rPr>
          <w:b/>
          <w:caps/>
        </w:rPr>
        <w:t xml:space="preserve">оценка </w:t>
      </w:r>
      <w:r w:rsidR="00F45645" w:rsidRPr="00F45645">
        <w:rPr>
          <w:b/>
          <w:caps/>
        </w:rPr>
        <w:t>П</w:t>
      </w:r>
      <w:r w:rsidR="00B64620" w:rsidRPr="00F45645">
        <w:rPr>
          <w:b/>
          <w:caps/>
        </w:rPr>
        <w:t>рактик</w:t>
      </w:r>
      <w:r w:rsidR="00227B0A" w:rsidRPr="00F45645">
        <w:rPr>
          <w:b/>
          <w:caps/>
        </w:rPr>
        <w:t xml:space="preserve"> </w:t>
      </w:r>
      <w:r w:rsidR="0076551D">
        <w:rPr>
          <w:b/>
          <w:caps/>
        </w:rPr>
        <w:t>Поставщиков</w:t>
      </w:r>
      <w:r w:rsidR="00160E8F">
        <w:rPr>
          <w:b/>
          <w:caps/>
        </w:rPr>
        <w:t xml:space="preserve"> </w:t>
      </w:r>
      <w:r w:rsidR="00227B0A" w:rsidRPr="00F45645">
        <w:rPr>
          <w:b/>
          <w:caps/>
        </w:rPr>
        <w:t xml:space="preserve">в контексте </w:t>
      </w:r>
      <w:r w:rsidR="001A2ECB" w:rsidRPr="00F45645">
        <w:rPr>
          <w:b/>
          <w:caps/>
        </w:rPr>
        <w:t>Ценовой</w:t>
      </w:r>
      <w:r w:rsidR="00C45E6B" w:rsidRPr="00F45645">
        <w:rPr>
          <w:b/>
          <w:caps/>
        </w:rPr>
        <w:t xml:space="preserve"> координации</w:t>
      </w:r>
      <w:r w:rsidR="009E578C" w:rsidRPr="00F45645">
        <w:rPr>
          <w:b/>
          <w:caps/>
        </w:rPr>
        <w:t xml:space="preserve"> Р</w:t>
      </w:r>
      <w:r w:rsidR="00C45E6B" w:rsidRPr="00F45645">
        <w:rPr>
          <w:b/>
          <w:caps/>
        </w:rPr>
        <w:t>еселлеров</w:t>
      </w:r>
    </w:p>
    <w:p w14:paraId="1075CF34" w14:textId="77777777" w:rsidR="009E578C" w:rsidRPr="009E578C" w:rsidRDefault="009E578C" w:rsidP="00C73F33">
      <w:pPr>
        <w:pStyle w:val="a3"/>
        <w:spacing w:after="0" w:line="240" w:lineRule="auto"/>
        <w:ind w:left="0"/>
        <w:contextualSpacing w:val="0"/>
        <w:jc w:val="both"/>
        <w:rPr>
          <w:b/>
        </w:rPr>
      </w:pPr>
    </w:p>
    <w:p w14:paraId="03D88DD3" w14:textId="1C8F5676" w:rsidR="005816D6" w:rsidRPr="002A5CFD" w:rsidRDefault="005816D6" w:rsidP="00C73F33">
      <w:pPr>
        <w:pStyle w:val="a3"/>
        <w:numPr>
          <w:ilvl w:val="1"/>
          <w:numId w:val="5"/>
        </w:numPr>
        <w:spacing w:after="0" w:line="240" w:lineRule="auto"/>
        <w:ind w:left="709" w:hanging="709"/>
        <w:contextualSpacing w:val="0"/>
        <w:jc w:val="both"/>
        <w:rPr>
          <w:b/>
          <w:smallCaps/>
        </w:rPr>
      </w:pPr>
      <w:r w:rsidRPr="002A5CFD">
        <w:rPr>
          <w:b/>
          <w:smallCaps/>
        </w:rPr>
        <w:t xml:space="preserve">Направление </w:t>
      </w:r>
      <w:r w:rsidR="0076551D">
        <w:rPr>
          <w:b/>
          <w:smallCaps/>
        </w:rPr>
        <w:t>Поставщика</w:t>
      </w:r>
      <w:r w:rsidR="002A5CFD">
        <w:rPr>
          <w:b/>
          <w:smallCaps/>
        </w:rPr>
        <w:t xml:space="preserve">ми </w:t>
      </w:r>
      <w:r w:rsidR="00255CD8" w:rsidRPr="002A5CFD">
        <w:rPr>
          <w:b/>
          <w:smallCaps/>
        </w:rPr>
        <w:t xml:space="preserve">коммуникаций, содержащих </w:t>
      </w:r>
      <w:r w:rsidR="0028489B">
        <w:rPr>
          <w:b/>
          <w:smallCaps/>
        </w:rPr>
        <w:t xml:space="preserve">информацию о </w:t>
      </w:r>
      <w:r w:rsidR="00255CD8" w:rsidRPr="002A5CFD">
        <w:rPr>
          <w:b/>
          <w:smallCaps/>
        </w:rPr>
        <w:t>розничны</w:t>
      </w:r>
      <w:r w:rsidR="0028489B">
        <w:rPr>
          <w:b/>
          <w:smallCaps/>
        </w:rPr>
        <w:t>х</w:t>
      </w:r>
      <w:r w:rsidR="00255CD8" w:rsidRPr="002A5CFD">
        <w:rPr>
          <w:b/>
          <w:smallCaps/>
        </w:rPr>
        <w:t xml:space="preserve"> цен</w:t>
      </w:r>
      <w:r w:rsidR="0028489B">
        <w:rPr>
          <w:b/>
          <w:smallCaps/>
        </w:rPr>
        <w:t>ах</w:t>
      </w:r>
    </w:p>
    <w:p w14:paraId="1813EEED" w14:textId="77777777" w:rsidR="00940332" w:rsidRDefault="00940332" w:rsidP="00C73F33">
      <w:pPr>
        <w:pStyle w:val="a3"/>
        <w:spacing w:after="0" w:line="240" w:lineRule="auto"/>
        <w:ind w:left="0"/>
        <w:contextualSpacing w:val="0"/>
        <w:jc w:val="both"/>
      </w:pPr>
    </w:p>
    <w:p w14:paraId="6222823D" w14:textId="2FF33B5B" w:rsidR="008E00AB" w:rsidRDefault="008E00AB" w:rsidP="00C73F33">
      <w:pPr>
        <w:spacing w:after="0" w:line="240" w:lineRule="auto"/>
        <w:jc w:val="both"/>
      </w:pPr>
      <w:r>
        <w:t xml:space="preserve">Вопрос о допустимости направления </w:t>
      </w:r>
      <w:r w:rsidR="0076551D">
        <w:t>Поставщика</w:t>
      </w:r>
      <w:r>
        <w:t>ми</w:t>
      </w:r>
      <w:r w:rsidR="003A374F">
        <w:t xml:space="preserve"> коммуникаций</w:t>
      </w:r>
      <w:r w:rsidR="001325E8">
        <w:t>, содержащих розничные цены,</w:t>
      </w:r>
      <w:r w:rsidR="003A374F">
        <w:t xml:space="preserve"> в адрес </w:t>
      </w:r>
      <w:r w:rsidR="00300FB5">
        <w:t>Р</w:t>
      </w:r>
      <w:r>
        <w:t>еселле</w:t>
      </w:r>
      <w:r w:rsidR="003A374F">
        <w:t>ров</w:t>
      </w:r>
      <w:r>
        <w:t xml:space="preserve"> неоднократно рассматривался </w:t>
      </w:r>
      <w:r w:rsidR="00DE1322">
        <w:t>ФАС России</w:t>
      </w:r>
      <w:r>
        <w:t xml:space="preserve"> в практике рассмотрени</w:t>
      </w:r>
      <w:r w:rsidR="00EB6CE0">
        <w:t>я</w:t>
      </w:r>
      <w:r>
        <w:t xml:space="preserve"> дел о </w:t>
      </w:r>
      <w:r w:rsidR="001A2ECB">
        <w:t>Ценовой</w:t>
      </w:r>
      <w:r>
        <w:t xml:space="preserve"> координации. Под «направлением» в данном случае следует понимать не только </w:t>
      </w:r>
      <w:r w:rsidR="00267475">
        <w:t xml:space="preserve">адресное </w:t>
      </w:r>
      <w:r>
        <w:t>направление коммуникаций, содержащих информацию о</w:t>
      </w:r>
      <w:r w:rsidR="00372619">
        <w:t>б</w:t>
      </w:r>
      <w:r>
        <w:t xml:space="preserve"> </w:t>
      </w:r>
      <w:r w:rsidR="00372619">
        <w:t xml:space="preserve">определенной </w:t>
      </w:r>
      <w:r>
        <w:t xml:space="preserve">розничной цене, </w:t>
      </w:r>
      <w:r w:rsidR="00D25810">
        <w:t xml:space="preserve">конкретному </w:t>
      </w:r>
      <w:r w:rsidR="00255CD8">
        <w:t>Р</w:t>
      </w:r>
      <w:r w:rsidR="00D25810">
        <w:t>еселлеру</w:t>
      </w:r>
      <w:r w:rsidR="00267475">
        <w:t xml:space="preserve"> (по электронной почте, телефону или иным средствам </w:t>
      </w:r>
      <w:r w:rsidR="00255CD8">
        <w:t>связи</w:t>
      </w:r>
      <w:r w:rsidR="00267475">
        <w:t xml:space="preserve">), но и размещение ее в </w:t>
      </w:r>
      <w:r w:rsidR="00255CD8">
        <w:t>от</w:t>
      </w:r>
      <w:r w:rsidR="00300FB5">
        <w:t>к</w:t>
      </w:r>
      <w:r w:rsidR="00255CD8">
        <w:t>рытом для Реселлеров</w:t>
      </w:r>
      <w:r w:rsidR="00267475">
        <w:t xml:space="preserve"> доступе, </w:t>
      </w:r>
      <w:r w:rsidR="005A1CFA">
        <w:t>например</w:t>
      </w:r>
      <w:r w:rsidR="00267475">
        <w:t>, путем опубликования соответствующей коммуникации на Интернет-сайте, «дилерском портале», в рекламе</w:t>
      </w:r>
      <w:r w:rsidR="00D25810">
        <w:t xml:space="preserve"> или донесение ее до </w:t>
      </w:r>
      <w:r w:rsidR="00255CD8">
        <w:t>Р</w:t>
      </w:r>
      <w:r w:rsidR="00D25810">
        <w:t>еселлеров иными способами, включая доведение ее до сведения неограниченного круга лиц.</w:t>
      </w:r>
      <w:r w:rsidR="00B8474F" w:rsidRPr="00B8474F">
        <w:t xml:space="preserve"> </w:t>
      </w:r>
      <w:r w:rsidR="00B4573B">
        <w:t>О</w:t>
      </w:r>
      <w:r w:rsidR="001D5E09">
        <w:t>публикование</w:t>
      </w:r>
      <w:r w:rsidR="00B8474F">
        <w:t xml:space="preserve"> </w:t>
      </w:r>
      <w:r w:rsidR="0076551D">
        <w:t>Поставщиком</w:t>
      </w:r>
      <w:r w:rsidR="00B8474F">
        <w:t xml:space="preserve"> информации об актуальной розничной цене на товар в его собственных розничных магазинах, </w:t>
      </w:r>
      <w:r w:rsidR="00B9487F">
        <w:t>а также</w:t>
      </w:r>
      <w:r w:rsidR="007E24C5">
        <w:t xml:space="preserve"> размещение информации о розничной цене в самих таких магазинах</w:t>
      </w:r>
      <w:r w:rsidR="00B8474F">
        <w:t xml:space="preserve"> не следует считать</w:t>
      </w:r>
      <w:r w:rsidR="007E24C5">
        <w:t xml:space="preserve"> ценовой коммуникацией в адрес Реселлеров, поскольку адресатами таких коммуникаций являются </w:t>
      </w:r>
      <w:r w:rsidR="003935EB">
        <w:t xml:space="preserve">Конечные </w:t>
      </w:r>
      <w:r w:rsidR="007E24C5">
        <w:t>потребители.</w:t>
      </w:r>
    </w:p>
    <w:p w14:paraId="2E3AB68D" w14:textId="77777777" w:rsidR="00C73F33" w:rsidRPr="001D5E09" w:rsidRDefault="00C73F33" w:rsidP="00C73F33">
      <w:pPr>
        <w:spacing w:after="0" w:line="240" w:lineRule="auto"/>
        <w:jc w:val="both"/>
      </w:pPr>
    </w:p>
    <w:p w14:paraId="262392D1" w14:textId="0D47FF77" w:rsidR="00F5325C" w:rsidRPr="00EB7433" w:rsidRDefault="00F5325C" w:rsidP="00F5325C">
      <w:pPr>
        <w:pStyle w:val="a3"/>
        <w:numPr>
          <w:ilvl w:val="2"/>
          <w:numId w:val="5"/>
        </w:numPr>
        <w:spacing w:after="0" w:line="240" w:lineRule="auto"/>
        <w:ind w:left="709" w:hanging="709"/>
        <w:contextualSpacing w:val="0"/>
        <w:jc w:val="both"/>
        <w:rPr>
          <w:b/>
        </w:rPr>
      </w:pPr>
      <w:r w:rsidRPr="00EB7433">
        <w:rPr>
          <w:b/>
        </w:rPr>
        <w:t>Коммуникации Реселлерам в связи с ценовым позиционированием товара в рознице</w:t>
      </w:r>
      <w:r w:rsidR="00EB7433" w:rsidRPr="00EB7433">
        <w:rPr>
          <w:b/>
        </w:rPr>
        <w:t xml:space="preserve">, </w:t>
      </w:r>
      <w:r w:rsidR="001A212B" w:rsidRPr="00EB7433">
        <w:rPr>
          <w:b/>
        </w:rPr>
        <w:t>рекомендованная розничная цена</w:t>
      </w:r>
    </w:p>
    <w:p w14:paraId="2716A281" w14:textId="77777777" w:rsidR="00F5325C" w:rsidRDefault="00F5325C" w:rsidP="00C73F33">
      <w:pPr>
        <w:spacing w:after="0" w:line="240" w:lineRule="auto"/>
        <w:jc w:val="both"/>
      </w:pPr>
    </w:p>
    <w:p w14:paraId="31656963" w14:textId="053DF8E9" w:rsidR="00D25810" w:rsidRDefault="00953645" w:rsidP="00C73F33">
      <w:pPr>
        <w:spacing w:after="0" w:line="240" w:lineRule="auto"/>
        <w:jc w:val="both"/>
        <w:rPr>
          <w:bCs/>
        </w:rPr>
      </w:pPr>
      <w:r>
        <w:t>В соответствии с п</w:t>
      </w:r>
      <w:r w:rsidR="00D25810">
        <w:t>рактик</w:t>
      </w:r>
      <w:r>
        <w:t>ой</w:t>
      </w:r>
      <w:r w:rsidR="00D25810">
        <w:t xml:space="preserve"> применения антимонопольными органами запрета на </w:t>
      </w:r>
      <w:r w:rsidR="00F308C7">
        <w:t>Ценовую</w:t>
      </w:r>
      <w:r w:rsidR="00D25810">
        <w:t xml:space="preserve"> координацию </w:t>
      </w:r>
      <w:r w:rsidR="00837F89" w:rsidRPr="001E19B4">
        <w:t xml:space="preserve">само по себе </w:t>
      </w:r>
      <w:r w:rsidR="00B67B3E">
        <w:t>сообщение</w:t>
      </w:r>
      <w:r w:rsidR="00837F89" w:rsidRPr="001E19B4">
        <w:t xml:space="preserve"> </w:t>
      </w:r>
      <w:r w:rsidR="0076551D">
        <w:t>Поставщика</w:t>
      </w:r>
      <w:r w:rsidR="00837F89" w:rsidRPr="001E19B4">
        <w:t xml:space="preserve">ми </w:t>
      </w:r>
      <w:r w:rsidR="00B67B3E">
        <w:t xml:space="preserve">Реселлерам </w:t>
      </w:r>
      <w:r w:rsidR="00EB7433">
        <w:t xml:space="preserve">рекомендованных розничных цен </w:t>
      </w:r>
      <w:r w:rsidR="00837F89" w:rsidRPr="001E19B4">
        <w:t xml:space="preserve">не может свидетельствовать о </w:t>
      </w:r>
      <w:r w:rsidR="001662BC" w:rsidRPr="001E19B4">
        <w:t xml:space="preserve">нарушении </w:t>
      </w:r>
      <w:r w:rsidR="0076551D">
        <w:t>Поставщиком</w:t>
      </w:r>
      <w:r w:rsidR="001662BC" w:rsidRPr="001E19B4">
        <w:t xml:space="preserve"> запрета на </w:t>
      </w:r>
      <w:r w:rsidR="00F308C7">
        <w:t>Ценовую</w:t>
      </w:r>
      <w:r w:rsidR="001662BC" w:rsidRPr="001E19B4">
        <w:t xml:space="preserve"> координацию</w:t>
      </w:r>
      <w:r w:rsidR="001662BC">
        <w:t>.</w:t>
      </w:r>
      <w:r w:rsidR="000373C4">
        <w:t xml:space="preserve"> </w:t>
      </w:r>
      <w:r w:rsidR="005137C6">
        <w:t>В </w:t>
      </w:r>
      <w:r w:rsidR="000B01DE">
        <w:t xml:space="preserve">Решении </w:t>
      </w:r>
      <w:r w:rsidR="001A4235">
        <w:t xml:space="preserve">по делу </w:t>
      </w:r>
      <w:r w:rsidR="000B01DE" w:rsidRPr="000B01DE">
        <w:t>№ 1-11-59/00-22-16 от 14 марта 2017 г.</w:t>
      </w:r>
      <w:r w:rsidR="00A22DD9">
        <w:t xml:space="preserve"> в отношении ООО «Эппл Рус» </w:t>
      </w:r>
      <w:r w:rsidR="001A4235">
        <w:t>к</w:t>
      </w:r>
      <w:r w:rsidR="00A22DD9">
        <w:t xml:space="preserve">омиссия </w:t>
      </w:r>
      <w:r w:rsidR="00DE1322">
        <w:t>ФАС России</w:t>
      </w:r>
      <w:r w:rsidR="00A22DD9">
        <w:t xml:space="preserve"> </w:t>
      </w:r>
      <w:r w:rsidR="001A4235">
        <w:t>указала</w:t>
      </w:r>
      <w:r w:rsidR="00A22DD9">
        <w:t>: «</w:t>
      </w:r>
      <w:r w:rsidR="00A22DD9" w:rsidRPr="00A22DD9">
        <w:rPr>
          <w:i/>
        </w:rPr>
        <w:t>Опубликование уполномоченным дистрибьютором рекомендованных розничных цен (предоставление данных цен иным способом, в том числе путём направления реселлерам по электронной почте), например, для целей ценового позиционирования продукции при реализации в розницу, не может признаваться незаконной координацией экономической деятельности</w:t>
      </w:r>
      <w:r w:rsidR="00A22DD9">
        <w:t>»</w:t>
      </w:r>
      <w:r w:rsidR="00300FB5">
        <w:t>.</w:t>
      </w:r>
      <w:r w:rsidR="00A23B4F">
        <w:t xml:space="preserve"> </w:t>
      </w:r>
      <w:r w:rsidR="00346DE8">
        <w:t xml:space="preserve">В более ранних решениях </w:t>
      </w:r>
      <w:r w:rsidR="00DE1322">
        <w:t>ФАС России</w:t>
      </w:r>
      <w:r w:rsidR="00346DE8">
        <w:t xml:space="preserve"> по </w:t>
      </w:r>
      <w:r w:rsidR="007E7560">
        <w:t xml:space="preserve">делам о </w:t>
      </w:r>
      <w:r w:rsidR="001A7BA3">
        <w:t>Ц</w:t>
      </w:r>
      <w:r w:rsidR="00346DE8">
        <w:t xml:space="preserve">еновой координации также указывалось на допустимость ценового позиционирования продукции в рознице </w:t>
      </w:r>
      <w:r w:rsidR="0076551D">
        <w:t>Поставщиком</w:t>
      </w:r>
      <w:r w:rsidR="00346DE8">
        <w:t xml:space="preserve">. </w:t>
      </w:r>
      <w:r w:rsidR="001B2146">
        <w:t>В частности</w:t>
      </w:r>
      <w:r w:rsidR="00346DE8">
        <w:t xml:space="preserve">, в Решении </w:t>
      </w:r>
      <w:r w:rsidR="00346DE8" w:rsidRPr="00346DE8">
        <w:t>по делу №</w:t>
      </w:r>
      <w:r w:rsidR="001A7BA3">
        <w:t> </w:t>
      </w:r>
      <w:r w:rsidR="00346DE8" w:rsidRPr="00346DE8">
        <w:t>1</w:t>
      </w:r>
      <w:r w:rsidR="001A4235">
        <w:t> </w:t>
      </w:r>
      <w:r w:rsidR="00346DE8" w:rsidRPr="00346DE8">
        <w:t>11/105-08</w:t>
      </w:r>
      <w:r w:rsidR="00346DE8">
        <w:t xml:space="preserve"> от 30 января 2009 г. </w:t>
      </w:r>
      <w:r w:rsidR="001A4235">
        <w:t xml:space="preserve">комиссия </w:t>
      </w:r>
      <w:r w:rsidR="00DE1322">
        <w:t>ФАС России</w:t>
      </w:r>
      <w:r w:rsidR="00346DE8">
        <w:t xml:space="preserve"> признала отсутствие ценовой координации </w:t>
      </w:r>
      <w:r w:rsidR="00233048">
        <w:t>розничных</w:t>
      </w:r>
      <w:r w:rsidR="00346DE8">
        <w:t xml:space="preserve"> продавцов </w:t>
      </w:r>
      <w:r w:rsidR="00233048">
        <w:t>напольных покрытий со стороны ЗАО «</w:t>
      </w:r>
      <w:proofErr w:type="spellStart"/>
      <w:r w:rsidR="00233048">
        <w:t>Таркетт</w:t>
      </w:r>
      <w:proofErr w:type="spellEnd"/>
      <w:r w:rsidR="00233048">
        <w:t xml:space="preserve"> Рус», которое оказывало «</w:t>
      </w:r>
      <w:r w:rsidR="00346DE8" w:rsidRPr="00233048">
        <w:rPr>
          <w:i/>
        </w:rPr>
        <w:t xml:space="preserve">помощь независимой рознице в позиционировании продукции </w:t>
      </w:r>
      <w:proofErr w:type="spellStart"/>
      <w:r w:rsidR="00346DE8" w:rsidRPr="00233048">
        <w:rPr>
          <w:i/>
        </w:rPr>
        <w:t>Tarkett</w:t>
      </w:r>
      <w:proofErr w:type="spellEnd"/>
      <w:r w:rsidR="00233048">
        <w:t xml:space="preserve">». </w:t>
      </w:r>
      <w:r w:rsidR="00A23B4F">
        <w:t xml:space="preserve">Таким образом, </w:t>
      </w:r>
      <w:r w:rsidR="00227B0A" w:rsidRPr="00D947F5">
        <w:rPr>
          <w:bCs/>
        </w:rPr>
        <w:t>направление</w:t>
      </w:r>
      <w:r w:rsidR="00A23B4F" w:rsidRPr="00D947F5">
        <w:rPr>
          <w:bCs/>
        </w:rPr>
        <w:t xml:space="preserve"> </w:t>
      </w:r>
      <w:r w:rsidR="0076551D">
        <w:rPr>
          <w:bCs/>
        </w:rPr>
        <w:t>Поставщиком</w:t>
      </w:r>
      <w:r w:rsidR="00A23B4F" w:rsidRPr="00D947F5">
        <w:rPr>
          <w:bCs/>
        </w:rPr>
        <w:t xml:space="preserve"> рекомендаций </w:t>
      </w:r>
      <w:r w:rsidR="00227B0A" w:rsidRPr="00D947F5">
        <w:rPr>
          <w:bCs/>
        </w:rPr>
        <w:t xml:space="preserve">в рамках </w:t>
      </w:r>
      <w:r w:rsidR="00A23B4F" w:rsidRPr="00D947F5">
        <w:rPr>
          <w:bCs/>
        </w:rPr>
        <w:t xml:space="preserve">ценового позиционирования </w:t>
      </w:r>
      <w:r w:rsidR="00195ED4">
        <w:rPr>
          <w:bCs/>
        </w:rPr>
        <w:t>товара</w:t>
      </w:r>
      <w:r w:rsidR="00A23B4F" w:rsidRPr="00D947F5">
        <w:rPr>
          <w:bCs/>
        </w:rPr>
        <w:t xml:space="preserve"> (например, в связи с</w:t>
      </w:r>
      <w:r w:rsidR="00195ED4">
        <w:rPr>
          <w:bCs/>
        </w:rPr>
        <w:t xml:space="preserve"> его</w:t>
      </w:r>
      <w:r w:rsidR="00A23B4F" w:rsidRPr="00D947F5">
        <w:rPr>
          <w:bCs/>
        </w:rPr>
        <w:t xml:space="preserve"> позиционированием в определенных ценовых </w:t>
      </w:r>
      <w:r w:rsidR="001E19B4" w:rsidRPr="00D947F5">
        <w:rPr>
          <w:bCs/>
        </w:rPr>
        <w:t>сегментах</w:t>
      </w:r>
      <w:r w:rsidR="00A23B4F" w:rsidRPr="00D947F5">
        <w:rPr>
          <w:bCs/>
        </w:rPr>
        <w:t>)</w:t>
      </w:r>
      <w:r w:rsidR="001E19B4" w:rsidRPr="00D947F5">
        <w:rPr>
          <w:bCs/>
        </w:rPr>
        <w:t xml:space="preserve"> само по себе не может считаться нарушением запрета на </w:t>
      </w:r>
      <w:r w:rsidR="00F308C7" w:rsidRPr="00D947F5">
        <w:rPr>
          <w:bCs/>
        </w:rPr>
        <w:t>Ценовую</w:t>
      </w:r>
      <w:r w:rsidR="001E19B4" w:rsidRPr="00D947F5">
        <w:rPr>
          <w:bCs/>
        </w:rPr>
        <w:t xml:space="preserve"> координацию.</w:t>
      </w:r>
    </w:p>
    <w:p w14:paraId="2A432F8E" w14:textId="6906D6F1" w:rsidR="002F7FFC" w:rsidRDefault="002F7FFC" w:rsidP="00C73F33">
      <w:pPr>
        <w:spacing w:after="0" w:line="240" w:lineRule="auto"/>
        <w:jc w:val="both"/>
      </w:pPr>
    </w:p>
    <w:p w14:paraId="4508BD39" w14:textId="22E1955E" w:rsidR="005A1E31" w:rsidRPr="004F6555" w:rsidRDefault="005A1E31" w:rsidP="005A1E31">
      <w:pPr>
        <w:pStyle w:val="a3"/>
        <w:numPr>
          <w:ilvl w:val="2"/>
          <w:numId w:val="5"/>
        </w:numPr>
        <w:spacing w:after="0" w:line="240" w:lineRule="auto"/>
        <w:ind w:left="709" w:hanging="709"/>
        <w:contextualSpacing w:val="0"/>
        <w:jc w:val="both"/>
        <w:rPr>
          <w:b/>
        </w:rPr>
      </w:pPr>
      <w:r w:rsidRPr="004F6555">
        <w:rPr>
          <w:b/>
        </w:rPr>
        <w:t xml:space="preserve">Установление максимальных розничных цен на товар и </w:t>
      </w:r>
      <w:r w:rsidR="00824F92">
        <w:rPr>
          <w:b/>
        </w:rPr>
        <w:t xml:space="preserve">обеспечение </w:t>
      </w:r>
      <w:r w:rsidR="00802BF0">
        <w:rPr>
          <w:b/>
        </w:rPr>
        <w:t>предоставления</w:t>
      </w:r>
      <w:r w:rsidRPr="004F6555">
        <w:rPr>
          <w:b/>
        </w:rPr>
        <w:t xml:space="preserve"> минимальн</w:t>
      </w:r>
      <w:r w:rsidR="00824F92">
        <w:rPr>
          <w:b/>
        </w:rPr>
        <w:t>ого размера</w:t>
      </w:r>
      <w:r w:rsidRPr="004F6555">
        <w:rPr>
          <w:b/>
        </w:rPr>
        <w:t xml:space="preserve"> скидок </w:t>
      </w:r>
      <w:r w:rsidR="004F6555">
        <w:rPr>
          <w:b/>
        </w:rPr>
        <w:t>Конечны</w:t>
      </w:r>
      <w:r w:rsidR="00802BF0">
        <w:rPr>
          <w:b/>
        </w:rPr>
        <w:t>м</w:t>
      </w:r>
      <w:r w:rsidR="004F6555">
        <w:rPr>
          <w:b/>
        </w:rPr>
        <w:t xml:space="preserve"> потребител</w:t>
      </w:r>
      <w:r w:rsidR="00802BF0">
        <w:rPr>
          <w:b/>
        </w:rPr>
        <w:t>ям</w:t>
      </w:r>
    </w:p>
    <w:p w14:paraId="7C75BD43" w14:textId="77777777" w:rsidR="00225710" w:rsidRPr="00F5325C" w:rsidRDefault="00225710" w:rsidP="00225710">
      <w:pPr>
        <w:pStyle w:val="a3"/>
        <w:spacing w:after="0" w:line="240" w:lineRule="auto"/>
        <w:ind w:left="709"/>
        <w:contextualSpacing w:val="0"/>
        <w:jc w:val="both"/>
        <w:rPr>
          <w:b/>
          <w:caps/>
        </w:rPr>
      </w:pPr>
    </w:p>
    <w:p w14:paraId="79DF5F4B" w14:textId="289E46DD" w:rsidR="00BF4C14" w:rsidRDefault="00BF4C14" w:rsidP="00BE7515">
      <w:pPr>
        <w:spacing w:after="0" w:line="240" w:lineRule="auto"/>
        <w:jc w:val="both"/>
      </w:pPr>
      <w:r>
        <w:t xml:space="preserve">Согласно </w:t>
      </w:r>
      <w:r w:rsidR="0001489E">
        <w:t xml:space="preserve">п. 1 </w:t>
      </w:r>
      <w:r>
        <w:t xml:space="preserve">ч. 2 ст. 11 Закона о защите </w:t>
      </w:r>
      <w:r w:rsidR="0001489E">
        <w:t>конкуренции</w:t>
      </w:r>
      <w:r w:rsidR="0001489E" w:rsidRPr="00BE7515">
        <w:t xml:space="preserve"> запрещаются</w:t>
      </w:r>
      <w:r w:rsidR="00BE7515" w:rsidRPr="00BE7515">
        <w:t xml:space="preserve"> </w:t>
      </w:r>
      <w:r w:rsidR="0001489E">
        <w:t>«</w:t>
      </w:r>
      <w:r w:rsidR="00BE7515" w:rsidRPr="00BE7515">
        <w:t>вертикальные</w:t>
      </w:r>
      <w:r w:rsidR="0001489E">
        <w:t>»</w:t>
      </w:r>
      <w:r w:rsidR="00BE7515" w:rsidRPr="00BE7515">
        <w:t xml:space="preserve"> соглашения между хозяйствующими субъектами (за исключением </w:t>
      </w:r>
      <w:r w:rsidR="0001489E">
        <w:t>«</w:t>
      </w:r>
      <w:r w:rsidR="00BE7515" w:rsidRPr="00BE7515">
        <w:t>вертикальных" соглашени</w:t>
      </w:r>
      <w:r w:rsidR="00B520D3">
        <w:t>й</w:t>
      </w:r>
      <w:r w:rsidR="0001489E">
        <w:t>»</w:t>
      </w:r>
      <w:r w:rsidR="00BE7515" w:rsidRPr="00BE7515">
        <w:t xml:space="preserve">, которые признаются допустимыми в соответствии со статьей 12 </w:t>
      </w:r>
      <w:r w:rsidR="0001489E">
        <w:t>Закона о защите конкуренции</w:t>
      </w:r>
      <w:r w:rsidR="00BE7515" w:rsidRPr="00BE7515">
        <w:t>), если</w:t>
      </w:r>
      <w:r w:rsidR="0001489E">
        <w:t xml:space="preserve"> </w:t>
      </w:r>
      <w:r w:rsidR="0001489E" w:rsidRPr="0001489E">
        <w:t xml:space="preserve">такие соглашения приводят или могут привести к установлению цены перепродажи товара, за исключением случая, если продавец устанавливает для покупателя максимальную цену перепродажи товара. </w:t>
      </w:r>
      <w:r w:rsidR="0001489E">
        <w:t xml:space="preserve">Таким образом, в отношении запрета </w:t>
      </w:r>
      <w:proofErr w:type="spellStart"/>
      <w:r w:rsidR="0001489E">
        <w:t>антиконкурентных</w:t>
      </w:r>
      <w:proofErr w:type="spellEnd"/>
      <w:r w:rsidR="0001489E">
        <w:t xml:space="preserve"> «вертикальных» соглашений прямо предусмотрено исключение в отношении установления продавцом максимальной цены перепродажи товара.</w:t>
      </w:r>
    </w:p>
    <w:p w14:paraId="63DA2A43" w14:textId="43942B6D" w:rsidR="0001489E" w:rsidRDefault="0001489E" w:rsidP="00BE7515">
      <w:pPr>
        <w:spacing w:after="0" w:line="240" w:lineRule="auto"/>
        <w:jc w:val="both"/>
      </w:pPr>
    </w:p>
    <w:p w14:paraId="75E81BB6" w14:textId="11886E45" w:rsidR="00E037A2" w:rsidRDefault="00136A9D" w:rsidP="004A492D">
      <w:pPr>
        <w:spacing w:after="0" w:line="240" w:lineRule="auto"/>
        <w:jc w:val="both"/>
      </w:pPr>
      <w:r>
        <w:lastRenderedPageBreak/>
        <w:t xml:space="preserve">Если отношения между </w:t>
      </w:r>
      <w:r w:rsidR="0076551D">
        <w:t>Поставщиком</w:t>
      </w:r>
      <w:r>
        <w:t xml:space="preserve"> и Реселлером рассматриваются антимонопольным органом в</w:t>
      </w:r>
      <w:r w:rsidR="0001489E">
        <w:t xml:space="preserve"> контексте запрета на Ценовую координацию</w:t>
      </w:r>
      <w:r>
        <w:t>, данные отношения</w:t>
      </w:r>
      <w:r w:rsidR="0001489E">
        <w:t xml:space="preserve"> не следует расценивать с позиции запрета «вертикальных» соглашений</w:t>
      </w:r>
      <w:r>
        <w:t xml:space="preserve"> (см. п. 3 раздела 3 выше)</w:t>
      </w:r>
      <w:r w:rsidR="0001489E">
        <w:t>.</w:t>
      </w:r>
      <w:r w:rsidR="004A492D">
        <w:t xml:space="preserve"> </w:t>
      </w:r>
      <w:r w:rsidR="000E318A">
        <w:t>В то же время</w:t>
      </w:r>
      <w:r w:rsidR="004A492D">
        <w:t xml:space="preserve"> у</w:t>
      </w:r>
      <w:r w:rsidR="0098352A" w:rsidRPr="002F2B1E">
        <w:t xml:space="preserve">становление </w:t>
      </w:r>
      <w:r w:rsidR="0076551D">
        <w:t>Поставщиком</w:t>
      </w:r>
      <w:r w:rsidR="0098352A" w:rsidRPr="002F2B1E">
        <w:t xml:space="preserve"> максимальной розничной цены на товар </w:t>
      </w:r>
      <w:r w:rsidR="00643748">
        <w:t>(</w:t>
      </w:r>
      <w:r w:rsidR="0098352A" w:rsidRPr="002F2B1E">
        <w:t xml:space="preserve">даже в отсутствие между </w:t>
      </w:r>
      <w:r w:rsidR="0076551D">
        <w:t>Поставщиком</w:t>
      </w:r>
      <w:r w:rsidR="0098352A" w:rsidRPr="002F2B1E">
        <w:t xml:space="preserve"> и Реселлером </w:t>
      </w:r>
      <w:r w:rsidR="003E3E66">
        <w:t>непосредственных отношений купли-продажи товара</w:t>
      </w:r>
      <w:r w:rsidR="00643748">
        <w:t>,</w:t>
      </w:r>
      <w:r w:rsidR="003E3E66" w:rsidRPr="003E3E66">
        <w:t xml:space="preserve"> </w:t>
      </w:r>
      <w:r w:rsidR="003E3E66">
        <w:t xml:space="preserve">т.е. </w:t>
      </w:r>
      <w:r w:rsidR="002F2DC8">
        <w:t>«</w:t>
      </w:r>
      <w:r w:rsidR="0098352A" w:rsidRPr="002F2B1E">
        <w:t>вертикального</w:t>
      </w:r>
      <w:r w:rsidR="002F2DC8">
        <w:t>»</w:t>
      </w:r>
      <w:r w:rsidR="0098352A" w:rsidRPr="002F2B1E">
        <w:t xml:space="preserve"> соглашения</w:t>
      </w:r>
      <w:r w:rsidR="003E3E66">
        <w:t>)</w:t>
      </w:r>
      <w:r w:rsidR="0098352A" w:rsidRPr="002F2B1E">
        <w:t xml:space="preserve"> </w:t>
      </w:r>
      <w:r w:rsidR="00643748">
        <w:t xml:space="preserve">также </w:t>
      </w:r>
      <w:r w:rsidR="0098352A" w:rsidRPr="002F2B1E">
        <w:t>не является нарушением антимонопольного законодательства при условии</w:t>
      </w:r>
      <w:r w:rsidR="0098352A">
        <w:t>, что</w:t>
      </w:r>
      <w:r w:rsidR="0098352A" w:rsidRPr="002F2B1E">
        <w:t xml:space="preserve"> </w:t>
      </w:r>
      <w:r w:rsidR="000E318A">
        <w:t xml:space="preserve">у </w:t>
      </w:r>
      <w:r w:rsidR="0098352A" w:rsidRPr="002F2B1E">
        <w:t>Реселлер</w:t>
      </w:r>
      <w:r w:rsidR="000E318A">
        <w:t>а</w:t>
      </w:r>
      <w:r w:rsidR="0098352A" w:rsidRPr="002F2B1E">
        <w:t xml:space="preserve"> </w:t>
      </w:r>
      <w:r w:rsidR="000E318A">
        <w:t xml:space="preserve">существует </w:t>
      </w:r>
      <w:r w:rsidR="0098352A" w:rsidRPr="002F2B1E">
        <w:t>возможност</w:t>
      </w:r>
      <w:r w:rsidR="0098352A">
        <w:t>ь по своему усмотрению</w:t>
      </w:r>
      <w:r w:rsidR="0098352A" w:rsidRPr="002F2B1E">
        <w:t xml:space="preserve"> установить цену в </w:t>
      </w:r>
      <w:r w:rsidR="0098352A" w:rsidRPr="0087062E">
        <w:t>меньшем размере.</w:t>
      </w:r>
      <w:r w:rsidR="00E037A2">
        <w:rPr>
          <w:rStyle w:val="ad"/>
        </w:rPr>
        <w:footnoteReference w:id="8"/>
      </w:r>
    </w:p>
    <w:p w14:paraId="5BD92C91" w14:textId="358F8F18" w:rsidR="003A4417" w:rsidRDefault="003A4417" w:rsidP="004A492D">
      <w:pPr>
        <w:spacing w:after="0" w:line="240" w:lineRule="auto"/>
        <w:jc w:val="both"/>
      </w:pPr>
    </w:p>
    <w:p w14:paraId="37A92E1B" w14:textId="02A913DD" w:rsidR="007A641B" w:rsidRDefault="007A641B" w:rsidP="00C73F33">
      <w:pPr>
        <w:spacing w:after="0" w:line="240" w:lineRule="auto"/>
        <w:jc w:val="both"/>
      </w:pPr>
      <w:r>
        <w:t xml:space="preserve">Допустимым также является </w:t>
      </w:r>
      <w:r w:rsidR="00AD6E19">
        <w:t xml:space="preserve">требование Поставщика о </w:t>
      </w:r>
      <w:r>
        <w:t>предоставлени</w:t>
      </w:r>
      <w:r w:rsidR="00AD6E19">
        <w:t>и</w:t>
      </w:r>
      <w:r>
        <w:t xml:space="preserve"> </w:t>
      </w:r>
      <w:r w:rsidR="00F308C7">
        <w:t>Р</w:t>
      </w:r>
      <w:r w:rsidR="007279DC">
        <w:t>еселлерам</w:t>
      </w:r>
      <w:r w:rsidR="00AD6E19">
        <w:t>и</w:t>
      </w:r>
      <w:r w:rsidR="007279DC">
        <w:t xml:space="preserve"> </w:t>
      </w:r>
      <w:r>
        <w:t>скид</w:t>
      </w:r>
      <w:r w:rsidR="00AD6E19">
        <w:t>о</w:t>
      </w:r>
      <w:r>
        <w:t>к</w:t>
      </w:r>
      <w:r w:rsidR="00AD6E19" w:rsidRPr="00AD6E19">
        <w:t xml:space="preserve"> </w:t>
      </w:r>
      <w:r w:rsidR="00AD6E19">
        <w:t>для Конечных потребителей</w:t>
      </w:r>
      <w:r>
        <w:t xml:space="preserve"> при условии</w:t>
      </w:r>
      <w:r w:rsidR="00CA76F7">
        <w:t xml:space="preserve">, что размер таких скидок будет </w:t>
      </w:r>
      <w:r w:rsidR="008034D4" w:rsidRPr="008034D4">
        <w:t xml:space="preserve"> </w:t>
      </w:r>
      <w:r w:rsidR="008034D4">
        <w:t xml:space="preserve">не меньше </w:t>
      </w:r>
      <w:r w:rsidR="00CA76F7">
        <w:t xml:space="preserve">размера, </w:t>
      </w:r>
      <w:r w:rsidR="008034D4">
        <w:t>установленного</w:t>
      </w:r>
      <w:r w:rsidR="003E4EE7">
        <w:t xml:space="preserve"> Поставщиком</w:t>
      </w:r>
      <w:r>
        <w:t>.</w:t>
      </w:r>
      <w:r w:rsidR="00B04C64">
        <w:rPr>
          <w:rStyle w:val="ad"/>
        </w:rPr>
        <w:footnoteReference w:id="9"/>
      </w:r>
      <w:r w:rsidR="00286D86">
        <w:t xml:space="preserve"> Главным условием такой допустимости является сохранение у Реселлеров права </w:t>
      </w:r>
      <w:r w:rsidR="00476698">
        <w:t xml:space="preserve">предоставить </w:t>
      </w:r>
      <w:r w:rsidR="00286D86">
        <w:t xml:space="preserve">скидку </w:t>
      </w:r>
      <w:r w:rsidR="00476698">
        <w:t xml:space="preserve">в большем размере </w:t>
      </w:r>
      <w:r w:rsidR="00286D86">
        <w:t xml:space="preserve">за свой счет, т.е. предоставить Конечным потребителям скидку еще в большем размере по сравнению со скидкой, </w:t>
      </w:r>
      <w:r w:rsidR="00CE61F6">
        <w:t>установленной</w:t>
      </w:r>
      <w:r w:rsidR="00286D86">
        <w:t xml:space="preserve"> </w:t>
      </w:r>
      <w:r w:rsidR="0076551D">
        <w:t>Поставщиком</w:t>
      </w:r>
      <w:r w:rsidR="00286D86">
        <w:t xml:space="preserve">. </w:t>
      </w:r>
      <w:r w:rsidR="00AB2F49">
        <w:t xml:space="preserve">Указанное применимо как в отношении Прямых Реселлеров, так и </w:t>
      </w:r>
      <w:r w:rsidR="001F52A4">
        <w:t>в отношении Реселлеров, приобретающих товар у третьих лиц, например,</w:t>
      </w:r>
      <w:r w:rsidR="00B17FD4">
        <w:t xml:space="preserve"> </w:t>
      </w:r>
      <w:r w:rsidR="001F52A4">
        <w:t xml:space="preserve">Дистрибьюторов. </w:t>
      </w:r>
    </w:p>
    <w:p w14:paraId="5AF5F04F" w14:textId="77777777" w:rsidR="007A641B" w:rsidRDefault="007A641B" w:rsidP="00C73F33">
      <w:pPr>
        <w:spacing w:after="0" w:line="240" w:lineRule="auto"/>
        <w:jc w:val="both"/>
      </w:pPr>
    </w:p>
    <w:p w14:paraId="525B0C97" w14:textId="0F422D82" w:rsidR="001A212B" w:rsidRPr="00AB2F49" w:rsidRDefault="00676BE6" w:rsidP="001A212B">
      <w:pPr>
        <w:pStyle w:val="a3"/>
        <w:numPr>
          <w:ilvl w:val="2"/>
          <w:numId w:val="5"/>
        </w:numPr>
        <w:spacing w:after="0" w:line="240" w:lineRule="auto"/>
        <w:ind w:left="709" w:hanging="709"/>
        <w:contextualSpacing w:val="0"/>
        <w:jc w:val="both"/>
        <w:rPr>
          <w:b/>
        </w:rPr>
      </w:pPr>
      <w:r>
        <w:rPr>
          <w:b/>
        </w:rPr>
        <w:t>Допустимые с</w:t>
      </w:r>
      <w:r w:rsidR="00EA7EED">
        <w:rPr>
          <w:b/>
        </w:rPr>
        <w:t>пособ</w:t>
      </w:r>
      <w:r>
        <w:rPr>
          <w:b/>
        </w:rPr>
        <w:t>ы</w:t>
      </w:r>
      <w:r w:rsidR="00EA7EED">
        <w:rPr>
          <w:b/>
        </w:rPr>
        <w:t xml:space="preserve"> н</w:t>
      </w:r>
      <w:r w:rsidR="001A212B" w:rsidRPr="00AB2F49">
        <w:rPr>
          <w:b/>
        </w:rPr>
        <w:t>аправлени</w:t>
      </w:r>
      <w:r w:rsidR="00EA7EED">
        <w:rPr>
          <w:b/>
        </w:rPr>
        <w:t>я</w:t>
      </w:r>
      <w:r w:rsidR="001A212B" w:rsidRPr="00AB2F49">
        <w:rPr>
          <w:b/>
        </w:rPr>
        <w:t xml:space="preserve"> </w:t>
      </w:r>
      <w:r w:rsidR="00CE61F6">
        <w:rPr>
          <w:b/>
        </w:rPr>
        <w:t>Поставщиком</w:t>
      </w:r>
      <w:r w:rsidR="001A212B" w:rsidRPr="00AB2F49">
        <w:rPr>
          <w:b/>
        </w:rPr>
        <w:t xml:space="preserve"> </w:t>
      </w:r>
      <w:r w:rsidR="001B1F24">
        <w:rPr>
          <w:b/>
        </w:rPr>
        <w:t>к</w:t>
      </w:r>
      <w:r w:rsidR="001B1F24" w:rsidRPr="00AB2F49">
        <w:rPr>
          <w:b/>
        </w:rPr>
        <w:t>оммуникаций</w:t>
      </w:r>
      <w:r w:rsidR="001B1F24">
        <w:rPr>
          <w:b/>
        </w:rPr>
        <w:t xml:space="preserve"> о розничных ценах</w:t>
      </w:r>
      <w:r w:rsidR="00127745">
        <w:rPr>
          <w:b/>
        </w:rPr>
        <w:t xml:space="preserve"> и скидках</w:t>
      </w:r>
    </w:p>
    <w:p w14:paraId="567D0193" w14:textId="77777777" w:rsidR="00550AB6" w:rsidRDefault="00550AB6" w:rsidP="00C73F33">
      <w:pPr>
        <w:spacing w:after="0" w:line="240" w:lineRule="auto"/>
        <w:jc w:val="both"/>
      </w:pPr>
    </w:p>
    <w:p w14:paraId="42E64718" w14:textId="7BBE2F65" w:rsidR="0053532C" w:rsidRDefault="0048792F" w:rsidP="00C73F33">
      <w:pPr>
        <w:spacing w:after="0" w:line="240" w:lineRule="auto"/>
        <w:jc w:val="both"/>
      </w:pPr>
      <w:r>
        <w:t xml:space="preserve">Информация о рекомендованной </w:t>
      </w:r>
      <w:r w:rsidR="002D05C9">
        <w:t xml:space="preserve">розничной цене, </w:t>
      </w:r>
      <w:r>
        <w:t xml:space="preserve">максимальной розничной цене </w:t>
      </w:r>
      <w:r w:rsidR="002D05C9">
        <w:t xml:space="preserve">или минимальной скидке </w:t>
      </w:r>
      <w:r w:rsidR="00B5184E">
        <w:t>(</w:t>
      </w:r>
      <w:r w:rsidR="002D05C9">
        <w:t xml:space="preserve">для целей ее </w:t>
      </w:r>
      <w:r w:rsidR="00802BF0">
        <w:t>предоставления</w:t>
      </w:r>
      <w:r w:rsidR="002D05C9">
        <w:t xml:space="preserve"> </w:t>
      </w:r>
      <w:r w:rsidR="0039067B">
        <w:t>Конечным потребителям</w:t>
      </w:r>
      <w:r w:rsidR="00B5184E">
        <w:t>)</w:t>
      </w:r>
      <w:r w:rsidR="0039067B">
        <w:t xml:space="preserve"> </w:t>
      </w:r>
      <w:r>
        <w:t xml:space="preserve">может быть доведена до сведения </w:t>
      </w:r>
      <w:r w:rsidR="002D05C9">
        <w:t>Р</w:t>
      </w:r>
      <w:r>
        <w:t>еселлеров любым способом</w:t>
      </w:r>
      <w:r w:rsidR="00592012">
        <w:t xml:space="preserve">. </w:t>
      </w:r>
    </w:p>
    <w:p w14:paraId="651AB348" w14:textId="77777777" w:rsidR="0053532C" w:rsidRDefault="0053532C" w:rsidP="00C73F33">
      <w:pPr>
        <w:spacing w:after="0" w:line="240" w:lineRule="auto"/>
        <w:jc w:val="both"/>
      </w:pPr>
    </w:p>
    <w:p w14:paraId="1B9CD8DA" w14:textId="78D881B4" w:rsidR="0053532C" w:rsidRDefault="00547BD0" w:rsidP="00C73F33">
      <w:pPr>
        <w:spacing w:after="0" w:line="240" w:lineRule="auto"/>
        <w:jc w:val="both"/>
      </w:pPr>
      <w:r>
        <w:t>Е</w:t>
      </w:r>
      <w:r w:rsidR="00592012">
        <w:t xml:space="preserve">сли </w:t>
      </w:r>
      <w:r w:rsidR="0076551D">
        <w:t>Поставщик</w:t>
      </w:r>
      <w:r w:rsidR="00592012">
        <w:t xml:space="preserve"> рекомендует розничную цену Реселлеру,</w:t>
      </w:r>
      <w:r w:rsidR="0048792F">
        <w:t xml:space="preserve"> </w:t>
      </w:r>
      <w:r w:rsidR="00C70663">
        <w:t>Р</w:t>
      </w:r>
      <w:r w:rsidR="0048792F">
        <w:t xml:space="preserve">еселлер </w:t>
      </w:r>
      <w:r w:rsidR="00592012">
        <w:t xml:space="preserve">должен быть </w:t>
      </w:r>
      <w:r w:rsidR="0048792F">
        <w:t xml:space="preserve">уведомлен о рекомендательном характере рекомендованной цены и о своем праве установить отличную от рекомендованной </w:t>
      </w:r>
      <w:r w:rsidR="00B678C4">
        <w:t>розничную</w:t>
      </w:r>
      <w:r w:rsidR="0048792F">
        <w:t xml:space="preserve"> цену по своему усмотрению</w:t>
      </w:r>
      <w:r w:rsidR="001544E6">
        <w:t xml:space="preserve">. </w:t>
      </w:r>
      <w:r w:rsidR="00BC5A77">
        <w:t>У</w:t>
      </w:r>
      <w:r w:rsidR="00CE2564">
        <w:t>ведомление Реселлера о нишевом позиционировании Продукции (</w:t>
      </w:r>
      <w:r w:rsidR="004C79D6">
        <w:t>например,</w:t>
      </w:r>
      <w:r w:rsidR="00CE2564">
        <w:t xml:space="preserve"> «премиум»</w:t>
      </w:r>
      <w:r w:rsidR="004C79D6">
        <w:t>,</w:t>
      </w:r>
      <w:r w:rsidR="00CE2564">
        <w:t xml:space="preserve"> «эконом»</w:t>
      </w:r>
      <w:r w:rsidR="004C79D6">
        <w:t xml:space="preserve"> и проч.</w:t>
      </w:r>
      <w:r w:rsidR="00CE2564">
        <w:t>)</w:t>
      </w:r>
      <w:r w:rsidR="004A04BA">
        <w:t xml:space="preserve"> не </w:t>
      </w:r>
      <w:r w:rsidR="000911CE">
        <w:t>следует</w:t>
      </w:r>
      <w:r w:rsidR="004A04BA">
        <w:t xml:space="preserve"> рассматривать как рекомендаци</w:t>
      </w:r>
      <w:r w:rsidR="000911CE">
        <w:t>ю</w:t>
      </w:r>
      <w:r w:rsidR="004A04BA">
        <w:t xml:space="preserve"> розничной цены</w:t>
      </w:r>
      <w:r w:rsidR="00D819E5">
        <w:t xml:space="preserve">, если в соответствующей коммуникации отсутствует указание цены </w:t>
      </w:r>
      <w:r w:rsidR="00674EEA">
        <w:t>или</w:t>
      </w:r>
      <w:r w:rsidR="00D819E5">
        <w:t xml:space="preserve"> ценово</w:t>
      </w:r>
      <w:r w:rsidR="00674EEA">
        <w:t>го</w:t>
      </w:r>
      <w:r w:rsidR="00D819E5">
        <w:t xml:space="preserve"> диапазон</w:t>
      </w:r>
      <w:r w:rsidR="00674EEA">
        <w:t>а</w:t>
      </w:r>
      <w:r w:rsidR="00520064">
        <w:t>.</w:t>
      </w:r>
      <w:r w:rsidR="00B57A80">
        <w:t xml:space="preserve"> </w:t>
      </w:r>
    </w:p>
    <w:p w14:paraId="5AFF15F4" w14:textId="77777777" w:rsidR="0053532C" w:rsidRDefault="0053532C" w:rsidP="00C73F33">
      <w:pPr>
        <w:spacing w:after="0" w:line="240" w:lineRule="auto"/>
        <w:jc w:val="both"/>
      </w:pPr>
    </w:p>
    <w:p w14:paraId="10A4ED09" w14:textId="24F4E069" w:rsidR="0035138C" w:rsidRDefault="00B57A80" w:rsidP="000C67FA">
      <w:pPr>
        <w:spacing w:after="0" w:line="240" w:lineRule="auto"/>
        <w:jc w:val="both"/>
      </w:pPr>
      <w:r>
        <w:t>При</w:t>
      </w:r>
      <w:r w:rsidR="001544E6">
        <w:t xml:space="preserve"> установлени</w:t>
      </w:r>
      <w:r>
        <w:t>и</w:t>
      </w:r>
      <w:r w:rsidR="001544E6">
        <w:t xml:space="preserve"> максимальной розничной цены на товар </w:t>
      </w:r>
      <w:r w:rsidR="0076551D">
        <w:t>Поставщик</w:t>
      </w:r>
      <w:r w:rsidR="001544E6">
        <w:t xml:space="preserve"> должен уведомить Реселлера о</w:t>
      </w:r>
      <w:r w:rsidR="0048792F">
        <w:t xml:space="preserve"> </w:t>
      </w:r>
      <w:r w:rsidR="00B678C4">
        <w:t xml:space="preserve">максимальном характере розничной цены, </w:t>
      </w:r>
      <w:r w:rsidR="001530BD">
        <w:t>например</w:t>
      </w:r>
      <w:r w:rsidR="00061CE5">
        <w:t>, через прямое указание в коммуникации</w:t>
      </w:r>
      <w:r w:rsidR="00B40032">
        <w:t xml:space="preserve"> с Реселлером</w:t>
      </w:r>
      <w:r w:rsidR="00061CE5">
        <w:t xml:space="preserve"> </w:t>
      </w:r>
      <w:bookmarkStart w:id="1" w:name="_Hlk28624771"/>
      <w:r w:rsidR="00061CE5">
        <w:t>о том, что</w:t>
      </w:r>
      <w:r w:rsidR="003F6AF9">
        <w:t xml:space="preserve"> указанная розничная</w:t>
      </w:r>
      <w:r w:rsidR="00061CE5">
        <w:t xml:space="preserve"> цена является максимальной и (или) </w:t>
      </w:r>
      <w:r w:rsidR="00B678C4">
        <w:t xml:space="preserve">о праве </w:t>
      </w:r>
      <w:r w:rsidR="00061CE5">
        <w:t xml:space="preserve">Реселлера </w:t>
      </w:r>
      <w:r w:rsidR="00504818">
        <w:t xml:space="preserve">по своему усмотрению </w:t>
      </w:r>
      <w:r w:rsidR="00B678C4">
        <w:t>установить на продукцию розничную цену в размере меньшем</w:t>
      </w:r>
      <w:r w:rsidR="00504818">
        <w:t xml:space="preserve">, чем максимальная </w:t>
      </w:r>
      <w:r w:rsidR="00075191">
        <w:t>розничная</w:t>
      </w:r>
      <w:r w:rsidR="00504818">
        <w:t xml:space="preserve"> цена</w:t>
      </w:r>
      <w:r w:rsidR="001544E6">
        <w:t>.</w:t>
      </w:r>
      <w:bookmarkEnd w:id="1"/>
      <w:r w:rsidR="0035138C">
        <w:t xml:space="preserve"> </w:t>
      </w:r>
    </w:p>
    <w:p w14:paraId="2DD612CD" w14:textId="77777777" w:rsidR="0035138C" w:rsidRDefault="0035138C" w:rsidP="000C67FA">
      <w:pPr>
        <w:spacing w:after="0" w:line="240" w:lineRule="auto"/>
        <w:jc w:val="both"/>
      </w:pPr>
    </w:p>
    <w:p w14:paraId="64032841" w14:textId="71C7D934" w:rsidR="0035138C" w:rsidRDefault="001544E6" w:rsidP="000C67FA">
      <w:pPr>
        <w:spacing w:after="0" w:line="240" w:lineRule="auto"/>
        <w:jc w:val="both"/>
      </w:pPr>
      <w:r>
        <w:t xml:space="preserve">При </w:t>
      </w:r>
      <w:r w:rsidR="007D473A">
        <w:t xml:space="preserve">установлении для </w:t>
      </w:r>
      <w:r>
        <w:t>Реселлер</w:t>
      </w:r>
      <w:r w:rsidR="007D473A">
        <w:t>а</w:t>
      </w:r>
      <w:r>
        <w:t xml:space="preserve"> минимальной скидки</w:t>
      </w:r>
      <w:r w:rsidR="00395211">
        <w:t>, которую необходимо предоставить</w:t>
      </w:r>
      <w:r>
        <w:t xml:space="preserve"> Конечны</w:t>
      </w:r>
      <w:r w:rsidR="00395211">
        <w:t>м</w:t>
      </w:r>
      <w:r>
        <w:t xml:space="preserve"> потребител</w:t>
      </w:r>
      <w:r w:rsidR="00395211">
        <w:t>ям</w:t>
      </w:r>
      <w:r w:rsidR="000C67FA">
        <w:t>,</w:t>
      </w:r>
      <w:r>
        <w:t xml:space="preserve"> </w:t>
      </w:r>
      <w:r w:rsidR="00395211">
        <w:t xml:space="preserve">Реселлер должен быть уведомлен </w:t>
      </w:r>
      <w:r w:rsidR="008C1DC8">
        <w:t xml:space="preserve">о том, что </w:t>
      </w:r>
      <w:r w:rsidR="00C615DF">
        <w:t xml:space="preserve">размер </w:t>
      </w:r>
      <w:r w:rsidR="003F6AF9">
        <w:t>скидк</w:t>
      </w:r>
      <w:r w:rsidR="00C615DF">
        <w:t>и</w:t>
      </w:r>
      <w:r w:rsidR="003F6AF9">
        <w:t>, котор</w:t>
      </w:r>
      <w:r w:rsidR="00C615DF">
        <w:t>ый</w:t>
      </w:r>
      <w:r w:rsidR="003F6AF9">
        <w:t xml:space="preserve"> он обязан предоставить </w:t>
      </w:r>
      <w:r w:rsidR="00C615DF">
        <w:t>Конечным потребителям</w:t>
      </w:r>
      <w:r w:rsidR="00242B80">
        <w:t>,</w:t>
      </w:r>
      <w:r w:rsidR="00C615DF">
        <w:t xml:space="preserve"> является минимальным </w:t>
      </w:r>
      <w:r w:rsidR="008C1DC8">
        <w:t xml:space="preserve">и (или) о праве Реселлера по своему усмотрению </w:t>
      </w:r>
      <w:r w:rsidR="00C615DF">
        <w:t xml:space="preserve">предоставить скидку Конечным потребителям в большем размере по сравнению с </w:t>
      </w:r>
      <w:r w:rsidR="00595C07">
        <w:t xml:space="preserve">установленной </w:t>
      </w:r>
      <w:r w:rsidR="0076551D">
        <w:t>Поставщиком</w:t>
      </w:r>
      <w:r w:rsidR="00C615DF">
        <w:t xml:space="preserve"> скидкой.</w:t>
      </w:r>
      <w:r w:rsidR="000C67FA">
        <w:t xml:space="preserve"> </w:t>
      </w:r>
      <w:r w:rsidR="00242B80">
        <w:t xml:space="preserve">Соглашением между Реселлером и Поставщиком могут быть предусмотрены механизмы обеспечения контроля за соблюдением </w:t>
      </w:r>
      <w:r w:rsidR="006D29EF">
        <w:lastRenderedPageBreak/>
        <w:t>Реселлером условия о максимальной розничной цене товара либо о предоставлении Конечным потребителям скидки в размере не меньше установленного Поставщиком</w:t>
      </w:r>
      <w:r w:rsidR="00930E62">
        <w:t>.</w:t>
      </w:r>
    </w:p>
    <w:p w14:paraId="3A4234C5" w14:textId="77777777" w:rsidR="00303CDA" w:rsidRDefault="00303CDA" w:rsidP="00C73F33">
      <w:pPr>
        <w:spacing w:after="0" w:line="240" w:lineRule="auto"/>
        <w:jc w:val="both"/>
      </w:pPr>
    </w:p>
    <w:p w14:paraId="03B0EFC9" w14:textId="3F835288" w:rsidR="00282552" w:rsidRDefault="002D05C9" w:rsidP="00377661">
      <w:pPr>
        <w:spacing w:after="0" w:line="240" w:lineRule="auto"/>
        <w:jc w:val="both"/>
      </w:pPr>
      <w:r>
        <w:t>Е</w:t>
      </w:r>
      <w:r w:rsidR="00B678C4">
        <w:t xml:space="preserve">сли информация о рекомендованной </w:t>
      </w:r>
      <w:r w:rsidR="00B57A80">
        <w:t>или</w:t>
      </w:r>
      <w:r w:rsidR="00B678C4">
        <w:t xml:space="preserve"> о максимальной розничной цене на продукцию </w:t>
      </w:r>
      <w:r w:rsidR="009C4BE1">
        <w:t>размещается</w:t>
      </w:r>
      <w:r w:rsidR="006020FC">
        <w:t xml:space="preserve"> в рекламе</w:t>
      </w:r>
      <w:r w:rsidR="009C4BE1">
        <w:t>,</w:t>
      </w:r>
      <w:r w:rsidR="006020FC">
        <w:t xml:space="preserve"> на этикетках</w:t>
      </w:r>
      <w:r w:rsidR="009C4BE1">
        <w:t xml:space="preserve"> продукции или иным способом, предполагающим ее раскрытие неопределенном</w:t>
      </w:r>
      <w:r w:rsidR="00300FB5">
        <w:t>у</w:t>
      </w:r>
      <w:r w:rsidR="009C4BE1">
        <w:t xml:space="preserve"> кругу </w:t>
      </w:r>
      <w:r w:rsidR="000E1CE6">
        <w:t xml:space="preserve">Конечных </w:t>
      </w:r>
      <w:r w:rsidR="009C4BE1">
        <w:t xml:space="preserve">потребителей, </w:t>
      </w:r>
      <w:r w:rsidR="0089258E">
        <w:t xml:space="preserve">то указанные выше в настоящем п. 4.1.3 уведомления </w:t>
      </w:r>
      <w:r w:rsidR="009C4BE1">
        <w:t>должны быть размещены</w:t>
      </w:r>
      <w:r w:rsidR="004C6C26" w:rsidRPr="004C6C26">
        <w:t xml:space="preserve"> </w:t>
      </w:r>
      <w:r w:rsidR="002D20ED">
        <w:t>в непосредственной близости от ценовой информации или ином доступном для Конченых потребителей месте</w:t>
      </w:r>
      <w:r w:rsidR="00E5039E">
        <w:t xml:space="preserve">. При этом такое уведомление должно быть нанесено </w:t>
      </w:r>
      <w:r w:rsidR="00B5184E">
        <w:t>хорошо читаемым</w:t>
      </w:r>
      <w:r w:rsidR="00A171B5">
        <w:t xml:space="preserve"> шрифтом и содержать ясные формулировки относительно </w:t>
      </w:r>
      <w:r w:rsidR="004034AD">
        <w:t>рекомендательного</w:t>
      </w:r>
      <w:r w:rsidR="00A171B5">
        <w:t xml:space="preserve"> либо максимального характера </w:t>
      </w:r>
      <w:r w:rsidR="00E5039E">
        <w:t>соответствующей розничной</w:t>
      </w:r>
      <w:r w:rsidR="00A171B5">
        <w:t xml:space="preserve"> цены, с тем чтобы у </w:t>
      </w:r>
      <w:r w:rsidR="00B57A80">
        <w:t xml:space="preserve">Конечного </w:t>
      </w:r>
      <w:r w:rsidR="00A171B5">
        <w:t xml:space="preserve">потребителя не возникало </w:t>
      </w:r>
      <w:r w:rsidR="00E5039E">
        <w:t xml:space="preserve">ложного </w:t>
      </w:r>
      <w:r w:rsidR="00A171B5">
        <w:t>представления о том, что</w:t>
      </w:r>
      <w:r w:rsidR="00377661">
        <w:t xml:space="preserve"> фактическая розничная цена гарантировано будет именно той ценой, информацию о которой он увидел.</w:t>
      </w:r>
      <w:r w:rsidR="00ED6F1E" w:rsidRPr="00ED6F1E">
        <w:t xml:space="preserve"> </w:t>
      </w:r>
    </w:p>
    <w:p w14:paraId="1916857C" w14:textId="77777777" w:rsidR="00C61BE2" w:rsidRDefault="00C61BE2" w:rsidP="00377661">
      <w:pPr>
        <w:spacing w:after="0" w:line="240" w:lineRule="auto"/>
        <w:jc w:val="both"/>
      </w:pPr>
    </w:p>
    <w:p w14:paraId="481AED5A" w14:textId="42D86E33" w:rsidR="006020FC" w:rsidRPr="00282552" w:rsidRDefault="00C61BE2" w:rsidP="00377661">
      <w:pPr>
        <w:spacing w:after="0" w:line="240" w:lineRule="auto"/>
        <w:jc w:val="both"/>
      </w:pPr>
      <w:r>
        <w:t xml:space="preserve">Для целей предоставления Конечным потребителям достоверной информации об актуальных розничных ценах на продукцию </w:t>
      </w:r>
      <w:r w:rsidR="006E7A15">
        <w:t>Поставщики также могут</w:t>
      </w:r>
      <w:r w:rsidR="00643B35">
        <w:t xml:space="preserve"> </w:t>
      </w:r>
      <w:r w:rsidR="00ED6F1E">
        <w:t xml:space="preserve">информировать Конечных потребителей </w:t>
      </w:r>
      <w:r w:rsidR="00643B35">
        <w:t>об актуальных розничных ценах, установленных на продукцию непосредственно Реселлерами</w:t>
      </w:r>
      <w:r>
        <w:t>,</w:t>
      </w:r>
      <w:r w:rsidR="00A36272">
        <w:t xml:space="preserve"> </w:t>
      </w:r>
      <w:r w:rsidR="006E7A15">
        <w:t xml:space="preserve">в том числе </w:t>
      </w:r>
      <w:r w:rsidR="00E53559">
        <w:t>в агрегированном виде по ряду Реселлеров</w:t>
      </w:r>
      <w:r w:rsidR="00643B35">
        <w:t>. В случае такого информирования</w:t>
      </w:r>
      <w:r w:rsidR="00D81756">
        <w:t xml:space="preserve"> Поставщику </w:t>
      </w:r>
      <w:r w:rsidR="00643B35">
        <w:t xml:space="preserve">необходимо удостовериться в том, что указанная </w:t>
      </w:r>
      <w:r w:rsidR="00282552">
        <w:t>в коммуникации</w:t>
      </w:r>
      <w:r w:rsidR="00643B35">
        <w:t xml:space="preserve"> розничная цена является действительной актуальной розничной ценой, установленной на продукцию </w:t>
      </w:r>
      <w:r w:rsidR="00282552">
        <w:t xml:space="preserve">самим </w:t>
      </w:r>
      <w:r w:rsidR="00643B35">
        <w:t>Реселлером</w:t>
      </w:r>
      <w:r w:rsidR="00202167">
        <w:t>, а также указывать в коммуникации дату, на которую такая цена была актуальн</w:t>
      </w:r>
      <w:r w:rsidR="0059595A">
        <w:t>а</w:t>
      </w:r>
      <w:r w:rsidR="00282552">
        <w:t>.</w:t>
      </w:r>
      <w:r w:rsidR="0059595A" w:rsidRPr="0059595A">
        <w:t xml:space="preserve"> </w:t>
      </w:r>
      <w:r w:rsidR="0059595A">
        <w:t xml:space="preserve">Подобное уведомление также должно содержать ясные формулировки относительно </w:t>
      </w:r>
      <w:r w:rsidR="00091340">
        <w:t>того, что указанная цена установлена непосредственно Реселлером</w:t>
      </w:r>
      <w:r w:rsidR="00723BB4">
        <w:t>, не является ценовой рекомендацией Поставщика</w:t>
      </w:r>
      <w:r w:rsidR="00091340">
        <w:t xml:space="preserve"> и может быть изменена по усмотрению</w:t>
      </w:r>
      <w:r w:rsidR="005A2733">
        <w:t xml:space="preserve"> Реселлера</w:t>
      </w:r>
      <w:r w:rsidR="00E005A4">
        <w:t xml:space="preserve"> в будущем</w:t>
      </w:r>
      <w:r w:rsidR="00091340">
        <w:t>.</w:t>
      </w:r>
    </w:p>
    <w:p w14:paraId="6944E97C" w14:textId="77777777" w:rsidR="002F7FFC" w:rsidRDefault="002F7FFC" w:rsidP="00C73F33">
      <w:pPr>
        <w:spacing w:after="0" w:line="240" w:lineRule="auto"/>
        <w:jc w:val="both"/>
      </w:pPr>
    </w:p>
    <w:p w14:paraId="3E3E5CB5" w14:textId="1C929CB3" w:rsidR="00815901" w:rsidRPr="00817B15" w:rsidRDefault="004E4D5D" w:rsidP="00C73F33">
      <w:pPr>
        <w:pStyle w:val="a3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b/>
          <w:smallCaps/>
        </w:rPr>
      </w:pPr>
      <w:r w:rsidRPr="00817B15">
        <w:rPr>
          <w:b/>
          <w:smallCaps/>
        </w:rPr>
        <w:t>Мониторинг розничных цен</w:t>
      </w:r>
    </w:p>
    <w:p w14:paraId="7F0AB1C1" w14:textId="77777777" w:rsidR="002F7FFC" w:rsidRDefault="002F7FFC" w:rsidP="00C73F33">
      <w:pPr>
        <w:autoSpaceDE w:val="0"/>
        <w:autoSpaceDN w:val="0"/>
        <w:adjustRightInd w:val="0"/>
        <w:spacing w:after="0" w:line="240" w:lineRule="auto"/>
        <w:jc w:val="both"/>
      </w:pPr>
    </w:p>
    <w:p w14:paraId="2DF54B6F" w14:textId="64F8B8AF" w:rsidR="00A42964" w:rsidRDefault="0094633E" w:rsidP="00C73F3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Само по себе осуществление </w:t>
      </w:r>
      <w:r w:rsidR="009D1FC9">
        <w:t>М</w:t>
      </w:r>
      <w:r>
        <w:t xml:space="preserve">ониторинга розничных цен </w:t>
      </w:r>
      <w:r w:rsidR="0076551D">
        <w:t>Поставщика</w:t>
      </w:r>
      <w:r>
        <w:t xml:space="preserve">ми является допустимым и не может быть расценено как нарушение запрета на </w:t>
      </w:r>
      <w:r w:rsidR="00F308C7">
        <w:t>Ценовую</w:t>
      </w:r>
      <w:r>
        <w:t xml:space="preserve"> координацию. </w:t>
      </w:r>
      <w:r w:rsidR="00F152F2">
        <w:t>В</w:t>
      </w:r>
      <w:r w:rsidR="000650D4">
        <w:t xml:space="preserve"> </w:t>
      </w:r>
      <w:r w:rsidR="00DE1322">
        <w:t>Р</w:t>
      </w:r>
      <w:r w:rsidR="000650D4">
        <w:t>ешении</w:t>
      </w:r>
      <w:r w:rsidR="000650D4" w:rsidRPr="000650D4">
        <w:t xml:space="preserve"> </w:t>
      </w:r>
      <w:r w:rsidR="00DE1322">
        <w:t>ФАС России</w:t>
      </w:r>
      <w:r w:rsidR="000650D4">
        <w:t xml:space="preserve"> </w:t>
      </w:r>
      <w:r w:rsidR="000650D4" w:rsidRPr="000650D4">
        <w:t>по делу № 1-11-18/00-22-17 от 26</w:t>
      </w:r>
      <w:r w:rsidR="004B2849">
        <w:t> </w:t>
      </w:r>
      <w:r w:rsidR="000650D4" w:rsidRPr="000650D4">
        <w:t>февраля 2018 </w:t>
      </w:r>
      <w:r w:rsidR="00882B3C">
        <w:t>г.</w:t>
      </w:r>
      <w:r w:rsidR="000650D4" w:rsidRPr="000650D4">
        <w:t xml:space="preserve"> о </w:t>
      </w:r>
      <w:r w:rsidR="00F152F2">
        <w:t xml:space="preserve">Ценовой </w:t>
      </w:r>
      <w:r w:rsidR="000650D4" w:rsidRPr="000650D4">
        <w:t xml:space="preserve">координации </w:t>
      </w:r>
      <w:r w:rsidR="00F152F2">
        <w:t xml:space="preserve">Реселлеров со стороны </w:t>
      </w:r>
      <w:r w:rsidR="000650D4" w:rsidRPr="000650D4">
        <w:t>ООО</w:t>
      </w:r>
      <w:r w:rsidR="00F152F2">
        <w:t> </w:t>
      </w:r>
      <w:r w:rsidR="000650D4" w:rsidRPr="000650D4">
        <w:t xml:space="preserve">«ЛГ Электроникс РУС» </w:t>
      </w:r>
      <w:r w:rsidR="00F152F2">
        <w:t>указано</w:t>
      </w:r>
      <w:r w:rsidR="00B42577">
        <w:t>: «</w:t>
      </w:r>
      <w:r w:rsidR="00B42577" w:rsidRPr="00B42577">
        <w:rPr>
          <w:i/>
        </w:rPr>
        <w:t>использование ценовых алгоритмов как ООО «ЛГ Электроникс Рус», так и реселлерами смартфонов LG само по себе не является нарушением антимонопольного законодательства</w:t>
      </w:r>
      <w:r w:rsidR="00B42577">
        <w:t xml:space="preserve">». </w:t>
      </w:r>
      <w:r w:rsidR="003B4AAF">
        <w:t>Мониторинг розничных цен д</w:t>
      </w:r>
      <w:r>
        <w:t xml:space="preserve">опустим </w:t>
      </w:r>
      <w:r w:rsidR="003B4AAF">
        <w:t xml:space="preserve">любым способом </w:t>
      </w:r>
      <w:r w:rsidR="007953AC">
        <w:t>в любых не запрещенных законом целях</w:t>
      </w:r>
      <w:r>
        <w:t xml:space="preserve">, </w:t>
      </w:r>
      <w:r w:rsidR="003B4AAF">
        <w:t>в частности</w:t>
      </w:r>
      <w:r>
        <w:t xml:space="preserve">, в целях, перечисленных в Разделе 4 </w:t>
      </w:r>
      <w:r w:rsidRPr="00160EE0">
        <w:t xml:space="preserve">Рекомендаций Экспертного совета при </w:t>
      </w:r>
      <w:r w:rsidR="00DE1322">
        <w:t>ФАС России</w:t>
      </w:r>
      <w:r w:rsidRPr="00160EE0">
        <w:t xml:space="preserve"> по развитию конкуренции в области информационных технологий и Экспертного совета </w:t>
      </w:r>
      <w:r w:rsidR="00DE1322">
        <w:t>ФАС России</w:t>
      </w:r>
      <w:r w:rsidRPr="00160EE0">
        <w:t xml:space="preserve"> по развитию конкуренции в сфере розничной торговли </w:t>
      </w:r>
      <w:r w:rsidR="00160EE0" w:rsidRPr="00160EE0">
        <w:t xml:space="preserve">от 25 марта 2019 г. </w:t>
      </w:r>
      <w:r w:rsidRPr="00160EE0">
        <w:t>«О практиках в сфере использования информационных технологий в торговле, в том числе связанных с использованием ценовых алгоритмов»</w:t>
      </w:r>
      <w:r w:rsidR="00160EE0">
        <w:t xml:space="preserve">. </w:t>
      </w:r>
    </w:p>
    <w:p w14:paraId="75AFA861" w14:textId="77777777" w:rsidR="00A42964" w:rsidRDefault="00A42964" w:rsidP="00C73F33">
      <w:pPr>
        <w:autoSpaceDE w:val="0"/>
        <w:autoSpaceDN w:val="0"/>
        <w:adjustRightInd w:val="0"/>
        <w:spacing w:after="0" w:line="240" w:lineRule="auto"/>
        <w:jc w:val="both"/>
      </w:pPr>
    </w:p>
    <w:p w14:paraId="07051FB7" w14:textId="5C09A021" w:rsidR="007953AC" w:rsidRDefault="0076551D" w:rsidP="00C73F33">
      <w:pPr>
        <w:autoSpaceDE w:val="0"/>
        <w:autoSpaceDN w:val="0"/>
        <w:adjustRightInd w:val="0"/>
        <w:spacing w:after="0" w:line="240" w:lineRule="auto"/>
        <w:jc w:val="both"/>
      </w:pPr>
      <w:r>
        <w:t>Поставщики</w:t>
      </w:r>
      <w:r w:rsidR="00346870">
        <w:t xml:space="preserve">, Дистрибьюторы и Реселлеры также вправе </w:t>
      </w:r>
      <w:r w:rsidR="004726D4">
        <w:t xml:space="preserve">в рамках двусторонней коммуникации </w:t>
      </w:r>
      <w:r w:rsidR="00346870">
        <w:t xml:space="preserve">запрашивать друг у друга результаты </w:t>
      </w:r>
      <w:r w:rsidR="005D19A4">
        <w:t xml:space="preserve">Мониторинга </w:t>
      </w:r>
      <w:r w:rsidR="00346870">
        <w:t xml:space="preserve">розничных цен, </w:t>
      </w:r>
      <w:r w:rsidR="00C565A3">
        <w:t>например</w:t>
      </w:r>
      <w:r w:rsidR="00346870">
        <w:t xml:space="preserve">, </w:t>
      </w:r>
      <w:r w:rsidR="00C565A3">
        <w:t>для</w:t>
      </w:r>
      <w:r w:rsidR="00346870">
        <w:t xml:space="preserve"> получения информации о состоянии конкуренции на розничном рынке продукции</w:t>
      </w:r>
      <w:r w:rsidR="00D76A19">
        <w:t>,</w:t>
      </w:r>
      <w:r w:rsidR="00346870">
        <w:t xml:space="preserve"> проведения дополнительных </w:t>
      </w:r>
      <w:r w:rsidR="00A42964">
        <w:t xml:space="preserve">маркетинговых или рекламных </w:t>
      </w:r>
      <w:r w:rsidR="00346870">
        <w:t xml:space="preserve">акций, направленных на повышение спроса на </w:t>
      </w:r>
      <w:r w:rsidR="00CF339E">
        <w:t>товар</w:t>
      </w:r>
      <w:r w:rsidR="00346870">
        <w:t xml:space="preserve"> у Конечных потребителей</w:t>
      </w:r>
      <w:r w:rsidR="00D76A19">
        <w:t>, а также оценки эффективности таких акций</w:t>
      </w:r>
      <w:r w:rsidR="000710CB">
        <w:t>.</w:t>
      </w:r>
    </w:p>
    <w:p w14:paraId="1C2ABE4D" w14:textId="77777777" w:rsidR="000710CB" w:rsidRDefault="000710CB" w:rsidP="00C73F33">
      <w:pPr>
        <w:autoSpaceDE w:val="0"/>
        <w:autoSpaceDN w:val="0"/>
        <w:adjustRightInd w:val="0"/>
        <w:spacing w:after="0" w:line="240" w:lineRule="auto"/>
        <w:jc w:val="both"/>
      </w:pPr>
    </w:p>
    <w:p w14:paraId="23CF8D6D" w14:textId="54E6F7BB" w:rsidR="00A53350" w:rsidRDefault="005E354B" w:rsidP="00C73F33">
      <w:pPr>
        <w:autoSpaceDE w:val="0"/>
        <w:autoSpaceDN w:val="0"/>
        <w:adjustRightInd w:val="0"/>
        <w:spacing w:after="0" w:line="240" w:lineRule="auto"/>
        <w:jc w:val="both"/>
      </w:pPr>
      <w:r>
        <w:t>О</w:t>
      </w:r>
      <w:r w:rsidR="00F678E4">
        <w:t xml:space="preserve">существление </w:t>
      </w:r>
      <w:r w:rsidR="0076551D">
        <w:t>Поставщика</w:t>
      </w:r>
      <w:r w:rsidR="00F678E4">
        <w:t xml:space="preserve">ми </w:t>
      </w:r>
      <w:r w:rsidR="00E24792">
        <w:t>М</w:t>
      </w:r>
      <w:r w:rsidR="00F678E4">
        <w:t xml:space="preserve">ониторинга розничных цен с целью выравнивания уровня розничных цен на </w:t>
      </w:r>
      <w:r w:rsidR="00E24792">
        <w:t>товар</w:t>
      </w:r>
      <w:r w:rsidRPr="005E354B">
        <w:t xml:space="preserve"> </w:t>
      </w:r>
      <w:r w:rsidR="00E638AB">
        <w:t xml:space="preserve">может </w:t>
      </w:r>
      <w:r w:rsidR="00B511CF">
        <w:t xml:space="preserve">указывать на осуществление </w:t>
      </w:r>
      <w:r w:rsidR="00E638AB">
        <w:t xml:space="preserve">Ценовой координации Реселлеров со стороны </w:t>
      </w:r>
      <w:r w:rsidR="0076551D">
        <w:t>Поставщика</w:t>
      </w:r>
      <w:r w:rsidR="00F678E4">
        <w:t xml:space="preserve">. </w:t>
      </w:r>
      <w:r w:rsidR="00B511CF">
        <w:t>В таком случае</w:t>
      </w:r>
      <w:r w:rsidR="00E638AB">
        <w:t xml:space="preserve"> из коммуникации, содержащей </w:t>
      </w:r>
      <w:r w:rsidR="00624C71">
        <w:t>М</w:t>
      </w:r>
      <w:r w:rsidR="00E638AB">
        <w:t>ониторинг розничных цен</w:t>
      </w:r>
      <w:r w:rsidR="00A53350">
        <w:t>,</w:t>
      </w:r>
      <w:r w:rsidR="00E638AB">
        <w:t xml:space="preserve"> должно следовать намерение </w:t>
      </w:r>
      <w:r w:rsidR="0076551D">
        <w:t>Поставщика</w:t>
      </w:r>
      <w:r w:rsidR="00E638AB">
        <w:t xml:space="preserve"> по </w:t>
      </w:r>
      <w:proofErr w:type="spellStart"/>
      <w:r w:rsidR="002A4AD0">
        <w:t>антиконкурентному</w:t>
      </w:r>
      <w:proofErr w:type="spellEnd"/>
      <w:r w:rsidR="002A4AD0">
        <w:t xml:space="preserve"> </w:t>
      </w:r>
      <w:r w:rsidR="00E638AB">
        <w:t>выравниванию или установлению розничных цен определенных Реселлеров</w:t>
      </w:r>
      <w:r w:rsidR="00DF3D7E">
        <w:t xml:space="preserve"> (т.е. осуществлению Ценовой координации)</w:t>
      </w:r>
      <w:r w:rsidR="00E638AB">
        <w:t xml:space="preserve">. </w:t>
      </w:r>
      <w:r w:rsidR="008273B2">
        <w:t xml:space="preserve">Признаками, которые могут говорить о направленности Мониторинга розничных цен на достижение указанных целей, может являться пересылка </w:t>
      </w:r>
      <w:r w:rsidR="0076551D">
        <w:t>Поставщиком</w:t>
      </w:r>
      <w:r w:rsidR="008273B2">
        <w:t xml:space="preserve"> результатов Мониторинг</w:t>
      </w:r>
      <w:r w:rsidR="006A376A">
        <w:t>а</w:t>
      </w:r>
      <w:r w:rsidR="008273B2">
        <w:t xml:space="preserve"> розничных цен, осуществленн</w:t>
      </w:r>
      <w:r w:rsidR="006A376A">
        <w:t>ого</w:t>
      </w:r>
      <w:r w:rsidR="008273B2">
        <w:t xml:space="preserve"> </w:t>
      </w:r>
      <w:r w:rsidR="006A376A">
        <w:t xml:space="preserve">одними </w:t>
      </w:r>
      <w:r w:rsidR="008273B2">
        <w:t xml:space="preserve">Реселлерами, между </w:t>
      </w:r>
      <w:r w:rsidR="00CB06B6">
        <w:t xml:space="preserve">другими </w:t>
      </w:r>
      <w:r w:rsidR="008273B2">
        <w:t>Реселлерами</w:t>
      </w:r>
      <w:r w:rsidR="00A4217E">
        <w:t xml:space="preserve"> без указания целей</w:t>
      </w:r>
      <w:r w:rsidR="00A414A5">
        <w:t xml:space="preserve"> такого информирования</w:t>
      </w:r>
      <w:r w:rsidR="008273B2">
        <w:t xml:space="preserve">, копирование </w:t>
      </w:r>
      <w:r w:rsidR="00CB06B6">
        <w:t xml:space="preserve">представителей </w:t>
      </w:r>
      <w:r w:rsidR="008273B2">
        <w:t xml:space="preserve">одних </w:t>
      </w:r>
      <w:r w:rsidR="008273B2">
        <w:lastRenderedPageBreak/>
        <w:t xml:space="preserve">Реселлеров в переписке </w:t>
      </w:r>
      <w:r w:rsidR="0076551D">
        <w:t>Поставщика</w:t>
      </w:r>
      <w:r w:rsidR="008273B2">
        <w:t xml:space="preserve"> с </w:t>
      </w:r>
      <w:r w:rsidR="00CB06B6">
        <w:t xml:space="preserve">представителями </w:t>
      </w:r>
      <w:r w:rsidR="008273B2">
        <w:t>други</w:t>
      </w:r>
      <w:r w:rsidR="00EC3C62">
        <w:t xml:space="preserve">х </w:t>
      </w:r>
      <w:r w:rsidR="008273B2">
        <w:t>Реселлер</w:t>
      </w:r>
      <w:r w:rsidR="00EC3C62">
        <w:t>ов</w:t>
      </w:r>
      <w:r w:rsidR="00A414A5">
        <w:t xml:space="preserve"> по поводу Мониторинга розничных цен</w:t>
      </w:r>
      <w:r w:rsidR="008273B2">
        <w:t xml:space="preserve">, </w:t>
      </w:r>
      <w:r w:rsidR="00EC3C62">
        <w:t xml:space="preserve">повторяющиеся в одно и то же время </w:t>
      </w:r>
      <w:r w:rsidR="008273B2">
        <w:t xml:space="preserve">рассылки результатов Мониторинга розничных цен </w:t>
      </w:r>
      <w:r w:rsidR="00CB06B6">
        <w:t>от</w:t>
      </w:r>
      <w:r w:rsidR="008273B2">
        <w:t xml:space="preserve"> </w:t>
      </w:r>
      <w:r w:rsidR="0076551D">
        <w:t>Поставщика</w:t>
      </w:r>
      <w:r w:rsidR="008273B2">
        <w:t xml:space="preserve"> </w:t>
      </w:r>
      <w:r w:rsidR="00CB06B6">
        <w:t xml:space="preserve">в адрес нескольких </w:t>
      </w:r>
      <w:r w:rsidR="008273B2">
        <w:t>Реселлер</w:t>
      </w:r>
      <w:r w:rsidR="00CB06B6">
        <w:t>ов</w:t>
      </w:r>
      <w:r w:rsidR="008273B2">
        <w:t xml:space="preserve"> и </w:t>
      </w:r>
      <w:r w:rsidR="00EE3139">
        <w:t>другие подобные действия</w:t>
      </w:r>
      <w:r w:rsidR="008273B2">
        <w:t>.</w:t>
      </w:r>
    </w:p>
    <w:p w14:paraId="51F7ADF1" w14:textId="77777777" w:rsidR="00A53350" w:rsidRDefault="00A53350" w:rsidP="00C73F33">
      <w:pPr>
        <w:autoSpaceDE w:val="0"/>
        <w:autoSpaceDN w:val="0"/>
        <w:adjustRightInd w:val="0"/>
        <w:spacing w:after="0" w:line="240" w:lineRule="auto"/>
        <w:jc w:val="both"/>
      </w:pPr>
    </w:p>
    <w:p w14:paraId="477C744C" w14:textId="7850F304" w:rsidR="00A40A29" w:rsidRDefault="00E638AB" w:rsidP="00C73F3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Намерение </w:t>
      </w:r>
      <w:r w:rsidR="0076551D">
        <w:t>Поставщика</w:t>
      </w:r>
      <w:r>
        <w:t xml:space="preserve"> по</w:t>
      </w:r>
      <w:r w:rsidR="00DF3D7E" w:rsidRPr="00DF3D7E">
        <w:t xml:space="preserve"> </w:t>
      </w:r>
      <w:proofErr w:type="spellStart"/>
      <w:r w:rsidR="00DF3D7E">
        <w:t>антиконкурентному</w:t>
      </w:r>
      <w:proofErr w:type="spellEnd"/>
      <w:r>
        <w:t xml:space="preserve"> выравниванию или установлению розничных цен определенных Реселлеров </w:t>
      </w:r>
      <w:r w:rsidR="006735C9">
        <w:t xml:space="preserve">должно быть </w:t>
      </w:r>
      <w:r w:rsidR="00AA3818">
        <w:t>определенно выраженным</w:t>
      </w:r>
      <w:r w:rsidR="006735C9">
        <w:t xml:space="preserve">, если речь идет о </w:t>
      </w:r>
      <w:r w:rsidR="0054431D">
        <w:t>коммуникациях</w:t>
      </w:r>
      <w:r w:rsidR="006735C9">
        <w:t>, содержащ</w:t>
      </w:r>
      <w:r w:rsidR="0054431D">
        <w:t>их</w:t>
      </w:r>
      <w:r w:rsidR="006735C9">
        <w:t xml:space="preserve"> </w:t>
      </w:r>
      <w:r>
        <w:t>М</w:t>
      </w:r>
      <w:r w:rsidR="006735C9">
        <w:t xml:space="preserve">ониторинг розничных цен, исключительно между </w:t>
      </w:r>
      <w:r w:rsidR="0054431D">
        <w:t xml:space="preserve">представителями </w:t>
      </w:r>
      <w:r w:rsidR="0076551D">
        <w:t>Поставщика</w:t>
      </w:r>
      <w:r w:rsidR="006735C9">
        <w:t xml:space="preserve"> (т.е. без участия </w:t>
      </w:r>
      <w:r w:rsidR="00DF3D7E">
        <w:t xml:space="preserve">представителей </w:t>
      </w:r>
      <w:r w:rsidR="006735C9">
        <w:t xml:space="preserve">Реселлеров). </w:t>
      </w:r>
      <w:r w:rsidR="0076551D">
        <w:t>Поставщик</w:t>
      </w:r>
      <w:r w:rsidR="006735C9">
        <w:t xml:space="preserve"> вправе пояснить контекст направления </w:t>
      </w:r>
      <w:r w:rsidR="0054431D">
        <w:t>М</w:t>
      </w:r>
      <w:r w:rsidR="006735C9">
        <w:t xml:space="preserve">ониторинга розничных цен, если соответствующая коммуникация </w:t>
      </w:r>
      <w:r w:rsidR="008D00C1">
        <w:t>не ставила целью осуществление Ценовой координации.</w:t>
      </w:r>
    </w:p>
    <w:p w14:paraId="46F245F6" w14:textId="77777777" w:rsidR="00F678E4" w:rsidRDefault="00F678E4" w:rsidP="00C73F33">
      <w:pPr>
        <w:pStyle w:val="a3"/>
        <w:spacing w:after="0" w:line="240" w:lineRule="auto"/>
        <w:ind w:left="0"/>
        <w:contextualSpacing w:val="0"/>
        <w:jc w:val="both"/>
      </w:pPr>
    </w:p>
    <w:p w14:paraId="4A2DD67B" w14:textId="17F685EC" w:rsidR="00177571" w:rsidRPr="00EA0720" w:rsidRDefault="00E30341" w:rsidP="00C73F33">
      <w:pPr>
        <w:pStyle w:val="a3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b/>
          <w:smallCaps/>
        </w:rPr>
      </w:pPr>
      <w:r w:rsidRPr="00EA0720">
        <w:rPr>
          <w:b/>
          <w:smallCaps/>
        </w:rPr>
        <w:t xml:space="preserve">Обеспечение соблюдения ценовых рекомендаций </w:t>
      </w:r>
      <w:r w:rsidR="0076551D">
        <w:rPr>
          <w:b/>
          <w:smallCaps/>
        </w:rPr>
        <w:t>Поставщика</w:t>
      </w:r>
      <w:r w:rsidR="00177571" w:rsidRPr="00EA0720">
        <w:rPr>
          <w:b/>
          <w:smallCaps/>
        </w:rPr>
        <w:t xml:space="preserve"> и фактическое соблюдение ценовых рекомендаций </w:t>
      </w:r>
      <w:r w:rsidR="0076551D">
        <w:rPr>
          <w:b/>
          <w:smallCaps/>
        </w:rPr>
        <w:t>Поставщика</w:t>
      </w:r>
    </w:p>
    <w:p w14:paraId="22A62EF4" w14:textId="77777777" w:rsidR="00057C1A" w:rsidRDefault="00057C1A" w:rsidP="00533A25">
      <w:pPr>
        <w:autoSpaceDE w:val="0"/>
        <w:autoSpaceDN w:val="0"/>
        <w:adjustRightInd w:val="0"/>
        <w:spacing w:after="0" w:line="240" w:lineRule="auto"/>
        <w:jc w:val="both"/>
      </w:pPr>
    </w:p>
    <w:p w14:paraId="664895E3" w14:textId="5487E945" w:rsidR="003D6210" w:rsidRDefault="00836646" w:rsidP="00533A25">
      <w:pPr>
        <w:autoSpaceDE w:val="0"/>
        <w:autoSpaceDN w:val="0"/>
        <w:adjustRightInd w:val="0"/>
        <w:spacing w:after="0" w:line="240" w:lineRule="auto"/>
        <w:jc w:val="both"/>
      </w:pPr>
      <w:r>
        <w:t>Необходимым</w:t>
      </w:r>
      <w:r w:rsidR="00C35C22">
        <w:t>и</w:t>
      </w:r>
      <w:r>
        <w:t xml:space="preserve"> элемент</w:t>
      </w:r>
      <w:r w:rsidR="00C35C22">
        <w:t>ами</w:t>
      </w:r>
      <w:r>
        <w:t xml:space="preserve"> Ценовой координации явля</w:t>
      </w:r>
      <w:r w:rsidR="003A7BAD">
        <w:t>ю</w:t>
      </w:r>
      <w:r>
        <w:t xml:space="preserve">тся </w:t>
      </w:r>
      <w:r w:rsidR="00E92E5A">
        <w:t xml:space="preserve">наличие механизма </w:t>
      </w:r>
      <w:r w:rsidR="00E92E5A" w:rsidRPr="00E92E5A">
        <w:t xml:space="preserve">обеспечения соблюдения </w:t>
      </w:r>
      <w:r w:rsidR="00A749DC">
        <w:t xml:space="preserve">Реселлерами </w:t>
      </w:r>
      <w:r>
        <w:t xml:space="preserve">розничных </w:t>
      </w:r>
      <w:r w:rsidR="00E92E5A" w:rsidRPr="00E92E5A">
        <w:t>цен</w:t>
      </w:r>
      <w:r>
        <w:t xml:space="preserve">, установленных </w:t>
      </w:r>
      <w:r w:rsidR="0076551D">
        <w:t>Поставщиком</w:t>
      </w:r>
      <w:r w:rsidR="00F854C8">
        <w:t xml:space="preserve"> и</w:t>
      </w:r>
      <w:r w:rsidR="00CE2564">
        <w:t xml:space="preserve"> </w:t>
      </w:r>
      <w:r w:rsidR="00CE2564" w:rsidRPr="00CE2564">
        <w:t xml:space="preserve">фактическое соблюдение ценовых рекомендаций </w:t>
      </w:r>
      <w:r w:rsidR="0076551D">
        <w:t>Поставщика</w:t>
      </w:r>
      <w:r w:rsidR="00CE2564">
        <w:t xml:space="preserve"> большинством Реселлеров</w:t>
      </w:r>
      <w:r w:rsidR="00E92E5A">
        <w:t>.</w:t>
      </w:r>
    </w:p>
    <w:p w14:paraId="44B52ED7" w14:textId="77777777" w:rsidR="00DC536F" w:rsidRDefault="00DC536F" w:rsidP="00533A25">
      <w:pPr>
        <w:autoSpaceDE w:val="0"/>
        <w:autoSpaceDN w:val="0"/>
        <w:adjustRightInd w:val="0"/>
        <w:spacing w:after="0" w:line="240" w:lineRule="auto"/>
        <w:jc w:val="both"/>
      </w:pPr>
    </w:p>
    <w:p w14:paraId="78733BC7" w14:textId="4F7C4A21" w:rsidR="00C2404E" w:rsidRPr="00126A3D" w:rsidRDefault="00112E03" w:rsidP="00C2404E">
      <w:pPr>
        <w:pStyle w:val="a3"/>
        <w:numPr>
          <w:ilvl w:val="2"/>
          <w:numId w:val="5"/>
        </w:numPr>
        <w:spacing w:after="0" w:line="240" w:lineRule="auto"/>
        <w:ind w:left="709" w:hanging="709"/>
        <w:contextualSpacing w:val="0"/>
        <w:jc w:val="both"/>
      </w:pPr>
      <w:r w:rsidRPr="00686103">
        <w:rPr>
          <w:b/>
          <w:bCs/>
        </w:rPr>
        <w:t>Механизм</w:t>
      </w:r>
      <w:r w:rsidR="00C2404E" w:rsidRPr="00126A3D">
        <w:rPr>
          <w:b/>
        </w:rPr>
        <w:t xml:space="preserve"> </w:t>
      </w:r>
      <w:r w:rsidR="00126A3D">
        <w:rPr>
          <w:b/>
        </w:rPr>
        <w:t>о</w:t>
      </w:r>
      <w:r w:rsidR="00C2404E" w:rsidRPr="00126A3D">
        <w:rPr>
          <w:b/>
        </w:rPr>
        <w:t>беспечени</w:t>
      </w:r>
      <w:r w:rsidR="0094456B">
        <w:rPr>
          <w:b/>
        </w:rPr>
        <w:t>я</w:t>
      </w:r>
      <w:r w:rsidR="00C2404E" w:rsidRPr="00126A3D">
        <w:rPr>
          <w:b/>
        </w:rPr>
        <w:t xml:space="preserve"> соблюдения ценовых рекомендаций </w:t>
      </w:r>
      <w:r w:rsidR="0076551D">
        <w:rPr>
          <w:b/>
        </w:rPr>
        <w:t>Поставщика</w:t>
      </w:r>
    </w:p>
    <w:p w14:paraId="7B05A35E" w14:textId="77777777" w:rsidR="00C2404E" w:rsidRDefault="00C2404E" w:rsidP="00B05BB4">
      <w:pPr>
        <w:autoSpaceDE w:val="0"/>
        <w:autoSpaceDN w:val="0"/>
        <w:adjustRightInd w:val="0"/>
        <w:spacing w:after="0" w:line="240" w:lineRule="auto"/>
        <w:jc w:val="both"/>
      </w:pPr>
    </w:p>
    <w:p w14:paraId="1777E695" w14:textId="3AE65AAD" w:rsidR="000D2EEF" w:rsidRDefault="000D2EEF" w:rsidP="00B05BB4">
      <w:pPr>
        <w:autoSpaceDE w:val="0"/>
        <w:autoSpaceDN w:val="0"/>
        <w:adjustRightInd w:val="0"/>
        <w:spacing w:after="0" w:line="240" w:lineRule="auto"/>
        <w:jc w:val="both"/>
      </w:pPr>
      <w:r>
        <w:t>Вывод о Ценовой координации не может быть</w:t>
      </w:r>
      <w:r w:rsidRPr="00622203">
        <w:t xml:space="preserve"> </w:t>
      </w:r>
      <w:r>
        <w:t>сделан в отсутствие механизма обеспечения соблюдения рекомендованных цен, поскольку сама по себе рекомендация определенного уровня розничной цены</w:t>
      </w:r>
      <w:r w:rsidR="009353D4">
        <w:t xml:space="preserve">, а также факт </w:t>
      </w:r>
      <w:r w:rsidR="00F854C8">
        <w:t>совпадения</w:t>
      </w:r>
      <w:r w:rsidR="009353D4">
        <w:t xml:space="preserve"> </w:t>
      </w:r>
      <w:r w:rsidR="00F854C8">
        <w:t xml:space="preserve">розничных цен у </w:t>
      </w:r>
      <w:r w:rsidR="009353D4">
        <w:t>Реселлер</w:t>
      </w:r>
      <w:r w:rsidR="00F854C8">
        <w:t>ов</w:t>
      </w:r>
      <w:r w:rsidR="00A41E61">
        <w:t xml:space="preserve"> </w:t>
      </w:r>
      <w:r>
        <w:t xml:space="preserve">не </w:t>
      </w:r>
      <w:r w:rsidR="00BA7B5F">
        <w:t xml:space="preserve">составляют </w:t>
      </w:r>
      <w:r>
        <w:t>нарушение антимонопольного законодательства.</w:t>
      </w:r>
    </w:p>
    <w:p w14:paraId="38C76B3A" w14:textId="6F0D2CE8" w:rsidR="000D2EEF" w:rsidRDefault="000D2EEF" w:rsidP="00B05BB4">
      <w:pPr>
        <w:autoSpaceDE w:val="0"/>
        <w:autoSpaceDN w:val="0"/>
        <w:adjustRightInd w:val="0"/>
        <w:spacing w:after="0" w:line="240" w:lineRule="auto"/>
        <w:jc w:val="both"/>
      </w:pPr>
    </w:p>
    <w:p w14:paraId="6FD527A9" w14:textId="63224870" w:rsidR="005E6E91" w:rsidRDefault="005E6E91" w:rsidP="005E6E91">
      <w:pPr>
        <w:autoSpaceDE w:val="0"/>
        <w:autoSpaceDN w:val="0"/>
        <w:adjustRightInd w:val="0"/>
        <w:spacing w:after="0" w:line="240" w:lineRule="auto"/>
        <w:jc w:val="both"/>
      </w:pPr>
      <w:r w:rsidRPr="00057C1A">
        <w:t>Механизмом обеспечения соблюдения Реселлерами определенных розничных цен может быть любой внешний</w:t>
      </w:r>
      <w:r w:rsidR="0094456B">
        <w:t xml:space="preserve"> </w:t>
      </w:r>
      <w:r w:rsidRPr="00057C1A">
        <w:t xml:space="preserve">стимул, </w:t>
      </w:r>
      <w:r>
        <w:t>отвечающий одновременно следующим критериям:</w:t>
      </w:r>
    </w:p>
    <w:p w14:paraId="5F5F6AE4" w14:textId="77777777" w:rsidR="005E6E91" w:rsidRDefault="005E6E91" w:rsidP="005E6E91">
      <w:pPr>
        <w:autoSpaceDE w:val="0"/>
        <w:autoSpaceDN w:val="0"/>
        <w:adjustRightInd w:val="0"/>
        <w:spacing w:after="0" w:line="240" w:lineRule="auto"/>
        <w:jc w:val="both"/>
      </w:pPr>
    </w:p>
    <w:p w14:paraId="6A948744" w14:textId="32316056" w:rsidR="005E6E91" w:rsidRPr="005E6E91" w:rsidRDefault="005E6E91" w:rsidP="005E6E91">
      <w:pPr>
        <w:pStyle w:val="a3"/>
        <w:numPr>
          <w:ilvl w:val="0"/>
          <w:numId w:val="10"/>
        </w:numPr>
        <w:spacing w:after="0" w:line="240" w:lineRule="auto"/>
        <w:jc w:val="both"/>
      </w:pPr>
      <w:r>
        <w:t>т</w:t>
      </w:r>
      <w:r w:rsidRPr="005E6E91">
        <w:t>акой стимул является необходимым и достаточным для принятия Реселлером решения о фактическом соблюдении розничной цены, установленной Поставщиком</w:t>
      </w:r>
      <w:r w:rsidRPr="005E6E91">
        <w:rPr>
          <w:rStyle w:val="ad"/>
        </w:rPr>
        <w:footnoteReference w:id="10"/>
      </w:r>
      <w:r w:rsidR="00C26B29">
        <w:t>,</w:t>
      </w:r>
      <w:r w:rsidR="00C26B29" w:rsidRPr="00C26B29">
        <w:t xml:space="preserve"> </w:t>
      </w:r>
      <w:r w:rsidR="00C26B29">
        <w:t>и в</w:t>
      </w:r>
      <w:r w:rsidR="00C26B29" w:rsidRPr="005E6E91">
        <w:t xml:space="preserve"> отсутствие подобного стимула Реселлер мог бы установить иную розничную цену</w:t>
      </w:r>
      <w:r w:rsidR="00C26B29">
        <w:t>;</w:t>
      </w:r>
    </w:p>
    <w:p w14:paraId="5F161EC2" w14:textId="77777777" w:rsidR="005E6E91" w:rsidRPr="005E6E91" w:rsidRDefault="005E6E91" w:rsidP="005E6E91">
      <w:pPr>
        <w:pStyle w:val="a3"/>
        <w:spacing w:after="0" w:line="240" w:lineRule="auto"/>
        <w:jc w:val="both"/>
      </w:pPr>
    </w:p>
    <w:p w14:paraId="6EA6D742" w14:textId="5B7974A1" w:rsidR="005E6E91" w:rsidRPr="005E6E91" w:rsidRDefault="0094456B" w:rsidP="00F7448D">
      <w:pPr>
        <w:pStyle w:val="a3"/>
        <w:numPr>
          <w:ilvl w:val="0"/>
          <w:numId w:val="10"/>
        </w:numPr>
        <w:spacing w:after="0" w:line="240" w:lineRule="auto"/>
        <w:jc w:val="both"/>
      </w:pPr>
      <w:r>
        <w:t xml:space="preserve">такой стимул </w:t>
      </w:r>
      <w:r w:rsidRPr="00057C1A">
        <w:t>не завис</w:t>
      </w:r>
      <w:r>
        <w:t>ит</w:t>
      </w:r>
      <w:r w:rsidRPr="00057C1A">
        <w:t xml:space="preserve"> от объективных рыночных причин</w:t>
      </w:r>
      <w:r w:rsidR="005E6E91" w:rsidRPr="005E6E91">
        <w:t>;</w:t>
      </w:r>
    </w:p>
    <w:p w14:paraId="119CF691" w14:textId="77777777" w:rsidR="005E6E91" w:rsidRPr="005E6E91" w:rsidRDefault="005E6E91" w:rsidP="005E6E91">
      <w:pPr>
        <w:pStyle w:val="a3"/>
        <w:spacing w:after="0" w:line="240" w:lineRule="auto"/>
        <w:jc w:val="both"/>
      </w:pPr>
    </w:p>
    <w:p w14:paraId="4DABC841" w14:textId="76B31C05" w:rsidR="005E6E91" w:rsidRPr="005E6E91" w:rsidRDefault="00E60B4B" w:rsidP="00F7448D">
      <w:pPr>
        <w:pStyle w:val="a3"/>
        <w:numPr>
          <w:ilvl w:val="0"/>
          <w:numId w:val="10"/>
        </w:numPr>
        <w:spacing w:after="0" w:line="240" w:lineRule="auto"/>
        <w:jc w:val="both"/>
      </w:pPr>
      <w:r>
        <w:t xml:space="preserve">стимул исходит от </w:t>
      </w:r>
      <w:r w:rsidR="0094456B">
        <w:t>Поставщика</w:t>
      </w:r>
      <w:r>
        <w:t xml:space="preserve">, то есть </w:t>
      </w:r>
      <w:r w:rsidR="005E6E91" w:rsidRPr="005E6E91">
        <w:t xml:space="preserve">включает в себя определенное </w:t>
      </w:r>
      <w:r w:rsidR="00B719CF">
        <w:t>активное</w:t>
      </w:r>
      <w:r>
        <w:t xml:space="preserve"> </w:t>
      </w:r>
      <w:r w:rsidR="005E6E91" w:rsidRPr="005E6E91">
        <w:t>действие со стороны Поставщика</w:t>
      </w:r>
      <w:r w:rsidR="00707DC7">
        <w:t xml:space="preserve"> (возможность такого действия)</w:t>
      </w:r>
      <w:r w:rsidR="005E6E91" w:rsidRPr="005E6E91">
        <w:t xml:space="preserve">, </w:t>
      </w:r>
      <w:r w:rsidR="00BE3948">
        <w:t>в том числе</w:t>
      </w:r>
      <w:r w:rsidR="005E6E91" w:rsidRPr="005E6E91">
        <w:t xml:space="preserve"> в связи с соблюдением либо несоблюдением Реселлером розничной цены, установленной Поставщиком</w:t>
      </w:r>
      <w:r w:rsidRPr="005E6E91">
        <w:rPr>
          <w:rStyle w:val="ad"/>
        </w:rPr>
        <w:footnoteReference w:id="11"/>
      </w:r>
      <w:r w:rsidR="003832DA">
        <w:t xml:space="preserve"> (далее – «</w:t>
      </w:r>
      <w:r w:rsidR="003832DA" w:rsidRPr="003832DA">
        <w:rPr>
          <w:b/>
          <w:bCs/>
        </w:rPr>
        <w:t>Механизм обеспечения</w:t>
      </w:r>
      <w:r w:rsidR="003832DA">
        <w:rPr>
          <w:b/>
          <w:bCs/>
        </w:rPr>
        <w:t xml:space="preserve"> цен</w:t>
      </w:r>
      <w:r w:rsidR="003832DA">
        <w:t>»)</w:t>
      </w:r>
      <w:r w:rsidR="005E6E91" w:rsidRPr="005E6E91">
        <w:t>.</w:t>
      </w:r>
    </w:p>
    <w:p w14:paraId="3719B22D" w14:textId="77777777" w:rsidR="005E6E91" w:rsidRDefault="005E6E91" w:rsidP="00B05BB4">
      <w:pPr>
        <w:autoSpaceDE w:val="0"/>
        <w:autoSpaceDN w:val="0"/>
        <w:adjustRightInd w:val="0"/>
        <w:spacing w:after="0" w:line="240" w:lineRule="auto"/>
        <w:jc w:val="both"/>
      </w:pPr>
    </w:p>
    <w:p w14:paraId="643D63A1" w14:textId="0EE0C4FF" w:rsidR="00C21B87" w:rsidRDefault="00C21B87" w:rsidP="00B05BB4">
      <w:pPr>
        <w:autoSpaceDE w:val="0"/>
        <w:autoSpaceDN w:val="0"/>
        <w:adjustRightInd w:val="0"/>
        <w:spacing w:after="0" w:line="240" w:lineRule="auto"/>
        <w:jc w:val="both"/>
      </w:pPr>
      <w:r>
        <w:t>В качестве</w:t>
      </w:r>
      <w:r w:rsidR="00B05BB4">
        <w:t xml:space="preserve"> </w:t>
      </w:r>
      <w:r w:rsidR="003832DA">
        <w:t>М</w:t>
      </w:r>
      <w:r w:rsidR="00B05BB4">
        <w:t xml:space="preserve">еханизма </w:t>
      </w:r>
      <w:r w:rsidR="00B05BB4" w:rsidRPr="00057C1A">
        <w:t xml:space="preserve">обеспечения </w:t>
      </w:r>
      <w:r w:rsidR="003832DA">
        <w:t>цен</w:t>
      </w:r>
      <w:r w:rsidR="00B05BB4">
        <w:t xml:space="preserve"> </w:t>
      </w:r>
      <w:r>
        <w:t>может выступать, к примеру:</w:t>
      </w:r>
    </w:p>
    <w:p w14:paraId="5AF05287" w14:textId="77777777" w:rsidR="00C21B87" w:rsidRDefault="00C21B87" w:rsidP="00B05BB4">
      <w:pPr>
        <w:autoSpaceDE w:val="0"/>
        <w:autoSpaceDN w:val="0"/>
        <w:adjustRightInd w:val="0"/>
        <w:spacing w:after="0" w:line="240" w:lineRule="auto"/>
        <w:jc w:val="both"/>
      </w:pPr>
    </w:p>
    <w:p w14:paraId="2E1EECDA" w14:textId="3541DF48" w:rsidR="00B22F2C" w:rsidRDefault="000B469C" w:rsidP="00CD2EFF">
      <w:pPr>
        <w:pStyle w:val="a3"/>
        <w:numPr>
          <w:ilvl w:val="0"/>
          <w:numId w:val="11"/>
        </w:numPr>
        <w:spacing w:after="0" w:line="240" w:lineRule="auto"/>
        <w:jc w:val="both"/>
      </w:pPr>
      <w:r>
        <w:t xml:space="preserve"> </w:t>
      </w:r>
      <w:r w:rsidR="00B05BB4">
        <w:t>прекращени</w:t>
      </w:r>
      <w:r w:rsidR="004D1632">
        <w:t>е</w:t>
      </w:r>
      <w:r w:rsidR="00B05BB4">
        <w:t xml:space="preserve"> сотрудничества с Реселлером со стороны </w:t>
      </w:r>
      <w:r w:rsidR="0076551D">
        <w:t>Поставщика</w:t>
      </w:r>
      <w:r w:rsidR="004D1632">
        <w:t xml:space="preserve"> или реальная угроза такого прекращения</w:t>
      </w:r>
      <w:r w:rsidR="00B22F2C">
        <w:t>;</w:t>
      </w:r>
      <w:r w:rsidR="00B05BB4">
        <w:t xml:space="preserve"> </w:t>
      </w:r>
    </w:p>
    <w:p w14:paraId="57D66A99" w14:textId="77777777" w:rsidR="00B22F2C" w:rsidRDefault="00B22F2C" w:rsidP="00B22F2C">
      <w:pPr>
        <w:pStyle w:val="a3"/>
        <w:spacing w:after="0" w:line="240" w:lineRule="auto"/>
        <w:jc w:val="both"/>
      </w:pPr>
    </w:p>
    <w:p w14:paraId="2BDDB242" w14:textId="4D646A4A" w:rsidR="002A6039" w:rsidRDefault="00B05BB4" w:rsidP="00CD2EFF">
      <w:pPr>
        <w:pStyle w:val="a3"/>
        <w:numPr>
          <w:ilvl w:val="0"/>
          <w:numId w:val="11"/>
        </w:numPr>
        <w:spacing w:after="0" w:line="240" w:lineRule="auto"/>
        <w:jc w:val="both"/>
      </w:pPr>
      <w:r>
        <w:t>лишени</w:t>
      </w:r>
      <w:r w:rsidR="0070256C">
        <w:t>е</w:t>
      </w:r>
      <w:r>
        <w:t xml:space="preserve"> Реселлера полагающихся ему </w:t>
      </w:r>
      <w:r w:rsidR="00EB3B15">
        <w:t>вознаграждений</w:t>
      </w:r>
      <w:r w:rsidR="00856E28">
        <w:t xml:space="preserve"> или</w:t>
      </w:r>
      <w:r w:rsidR="00EB3B15">
        <w:t xml:space="preserve"> </w:t>
      </w:r>
      <w:r>
        <w:t xml:space="preserve">скидок </w:t>
      </w:r>
      <w:r w:rsidR="002A6039">
        <w:t xml:space="preserve">по причине несоблюдения ценовой рекомендации </w:t>
      </w:r>
      <w:r w:rsidR="0076551D">
        <w:t>Поставщик</w:t>
      </w:r>
      <w:r w:rsidR="00BF1B62">
        <w:t>а</w:t>
      </w:r>
      <w:r w:rsidR="00856E28">
        <w:t xml:space="preserve"> или реальная угроза такого лишения</w:t>
      </w:r>
      <w:r w:rsidR="000B469C">
        <w:t>;</w:t>
      </w:r>
    </w:p>
    <w:p w14:paraId="3ABBB3D8" w14:textId="77777777" w:rsidR="002A6039" w:rsidRDefault="002A6039" w:rsidP="00CD2EFF">
      <w:pPr>
        <w:pStyle w:val="a3"/>
        <w:spacing w:after="0" w:line="240" w:lineRule="auto"/>
        <w:jc w:val="both"/>
      </w:pPr>
    </w:p>
    <w:p w14:paraId="17E4A8DA" w14:textId="49CE26D6" w:rsidR="00DF3230" w:rsidRDefault="00A51B44" w:rsidP="00DF3230">
      <w:pPr>
        <w:pStyle w:val="a3"/>
        <w:numPr>
          <w:ilvl w:val="0"/>
          <w:numId w:val="11"/>
        </w:numPr>
        <w:spacing w:after="0" w:line="240" w:lineRule="auto"/>
        <w:jc w:val="both"/>
      </w:pPr>
      <w:r>
        <w:t xml:space="preserve">периодическое </w:t>
      </w:r>
      <w:r w:rsidR="00B05BB4">
        <w:t>информирование Реселлеров о будущих розничных ценах, которые установят их конкуренты – другие Реселлеры</w:t>
      </w:r>
      <w:r w:rsidR="0059172E">
        <w:t xml:space="preserve">, и которые будут соответствовать ожиданию </w:t>
      </w:r>
      <w:r w:rsidR="0076551D">
        <w:t>Поставщика</w:t>
      </w:r>
      <w:r w:rsidR="00856E28">
        <w:t>.</w:t>
      </w:r>
      <w:r>
        <w:t xml:space="preserve"> </w:t>
      </w:r>
      <w:r w:rsidR="00856E28">
        <w:t>П</w:t>
      </w:r>
      <w:r w:rsidR="00CD2EFF">
        <w:t xml:space="preserve">ериодическое получение информации о будущих ценах конкурентов </w:t>
      </w:r>
      <w:r w:rsidR="00FF5CFD">
        <w:t xml:space="preserve">устраняет с рынка элемент неожиданности и создает </w:t>
      </w:r>
      <w:r w:rsidR="00390FD3">
        <w:t xml:space="preserve">возможность для </w:t>
      </w:r>
      <w:r w:rsidR="00135713">
        <w:t>согласования ценов</w:t>
      </w:r>
      <w:r w:rsidR="008F34BB">
        <w:t>ых</w:t>
      </w:r>
      <w:r w:rsidR="00135713">
        <w:t xml:space="preserve"> политик </w:t>
      </w:r>
      <w:r w:rsidR="00CE42F6">
        <w:t>нескольких участников розничного рынка</w:t>
      </w:r>
      <w:r w:rsidR="00457176">
        <w:t>.</w:t>
      </w:r>
      <w:r w:rsidR="00DF3230" w:rsidRPr="00DF3230">
        <w:t xml:space="preserve"> </w:t>
      </w:r>
      <w:r w:rsidR="00457176">
        <w:t>П</w:t>
      </w:r>
      <w:r w:rsidR="00DF3230">
        <w:t xml:space="preserve">ри этом публикация на сайтах Поставщиков или иных ресурсах информации о будущих розничных ценах не будет иметь такого эффекта, если такая информация ограничена розничными ценами только в магазинах самого Поставщика (если у него есть собственные магазины) или максимальными </w:t>
      </w:r>
      <w:r w:rsidR="00BF1B62">
        <w:t xml:space="preserve">розничными </w:t>
      </w:r>
      <w:r w:rsidR="00DF3230">
        <w:t>ценами, по которым продукция будет доступна у Реселлеров</w:t>
      </w:r>
      <w:r w:rsidR="00BF1B62">
        <w:t>;</w:t>
      </w:r>
      <w:r w:rsidR="00DF3230">
        <w:t xml:space="preserve"> </w:t>
      </w:r>
    </w:p>
    <w:p w14:paraId="663EC332" w14:textId="77777777" w:rsidR="00EE5F9F" w:rsidRPr="00DF3230" w:rsidRDefault="00EE5F9F" w:rsidP="00CD2EFF">
      <w:pPr>
        <w:pStyle w:val="a3"/>
        <w:spacing w:after="0" w:line="240" w:lineRule="auto"/>
        <w:jc w:val="both"/>
      </w:pPr>
    </w:p>
    <w:p w14:paraId="6069498A" w14:textId="009C4525" w:rsidR="00BD2318" w:rsidRDefault="00B05BB4" w:rsidP="00F7448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опубликование на сайте </w:t>
      </w:r>
      <w:r w:rsidR="0076551D">
        <w:t>Поставщика</w:t>
      </w:r>
      <w:r>
        <w:t xml:space="preserve"> </w:t>
      </w:r>
      <w:r w:rsidR="00DA53B9">
        <w:t xml:space="preserve">или на ином ресурсе по </w:t>
      </w:r>
      <w:r w:rsidR="0056147C">
        <w:t xml:space="preserve">заказу </w:t>
      </w:r>
      <w:r w:rsidR="0076551D">
        <w:t>Поставщика</w:t>
      </w:r>
      <w:r w:rsidR="00DA53B9">
        <w:t xml:space="preserve"> </w:t>
      </w:r>
      <w:r>
        <w:t>информации о том, что после выхода определенной продукции на рынок она будет предлагаться в</w:t>
      </w:r>
      <w:r w:rsidR="009D48E2">
        <w:t xml:space="preserve">о всех </w:t>
      </w:r>
      <w:r>
        <w:t>розни</w:t>
      </w:r>
      <w:r w:rsidR="009D48E2">
        <w:t>чных магазинах</w:t>
      </w:r>
      <w:r>
        <w:t xml:space="preserve"> всем </w:t>
      </w:r>
      <w:r w:rsidR="0056147C">
        <w:t xml:space="preserve">Конечным </w:t>
      </w:r>
      <w:r>
        <w:t>потребителям по определенной фиксированной цене</w:t>
      </w:r>
      <w:r w:rsidR="00EE5F9F">
        <w:rPr>
          <w:rStyle w:val="ad"/>
        </w:rPr>
        <w:footnoteReference w:id="12"/>
      </w:r>
      <w:r w:rsidR="00CD2EFF">
        <w:t>, так как</w:t>
      </w:r>
      <w:r>
        <w:t xml:space="preserve"> </w:t>
      </w:r>
      <w:r w:rsidR="00CD2EFF">
        <w:t>з</w:t>
      </w:r>
      <w:r w:rsidR="00920D48">
        <w:t xml:space="preserve">а счет таких публикаций </w:t>
      </w:r>
      <w:r w:rsidR="00BF1B62">
        <w:t xml:space="preserve">(а) </w:t>
      </w:r>
      <w:r w:rsidR="00920D48">
        <w:t xml:space="preserve">у Конечных потребителей </w:t>
      </w:r>
      <w:r w:rsidR="0056147C">
        <w:t xml:space="preserve">создается </w:t>
      </w:r>
      <w:r w:rsidR="00176CCB">
        <w:t>ожидание увидеть в будущем продукцию на рынке по определенной цене</w:t>
      </w:r>
      <w:r w:rsidR="00BF1B62">
        <w:t>, (б)</w:t>
      </w:r>
      <w:r w:rsidR="00176CCB">
        <w:t xml:space="preserve"> </w:t>
      </w:r>
      <w:r w:rsidR="00127F29">
        <w:t>Р</w:t>
      </w:r>
      <w:r w:rsidR="00176CCB">
        <w:t>еселлеры же</w:t>
      </w:r>
      <w:r w:rsidR="001D49BD">
        <w:t xml:space="preserve">, </w:t>
      </w:r>
      <w:r w:rsidR="00DA53B9">
        <w:t>ориентируясь на</w:t>
      </w:r>
      <w:r w:rsidR="001D49BD">
        <w:t xml:space="preserve"> таки</w:t>
      </w:r>
      <w:r w:rsidR="00DA53B9">
        <w:t>е</w:t>
      </w:r>
      <w:r w:rsidR="001D49BD">
        <w:t xml:space="preserve"> ожидани</w:t>
      </w:r>
      <w:r w:rsidR="00DA53B9">
        <w:t xml:space="preserve">я, устанавливают розничные цены в соответствии с публикацией </w:t>
      </w:r>
      <w:r w:rsidR="0076551D">
        <w:t>Поставщика</w:t>
      </w:r>
      <w:r w:rsidR="00DA53B9">
        <w:t>.</w:t>
      </w:r>
      <w:r w:rsidR="0056147C">
        <w:t xml:space="preserve"> </w:t>
      </w:r>
      <w:r w:rsidR="00BF1B62">
        <w:t>При этом</w:t>
      </w:r>
      <w:r w:rsidR="0083390A">
        <w:t xml:space="preserve"> и</w:t>
      </w:r>
      <w:r w:rsidR="00BB6C54">
        <w:t xml:space="preserve">нформирование Реселлеров о текущих розничных ценах других Реселлеров </w:t>
      </w:r>
      <w:r w:rsidR="009A245D">
        <w:t xml:space="preserve">само по себе </w:t>
      </w:r>
      <w:r w:rsidR="00BB6C54">
        <w:t xml:space="preserve">не может рассматриваться в качестве </w:t>
      </w:r>
      <w:r w:rsidR="003832DA">
        <w:t>М</w:t>
      </w:r>
      <w:r w:rsidR="00BB6C54">
        <w:t>еханизма обеспечения</w:t>
      </w:r>
      <w:r w:rsidR="003832DA" w:rsidRPr="003832DA">
        <w:t xml:space="preserve"> </w:t>
      </w:r>
      <w:r w:rsidR="003832DA">
        <w:t>цен</w:t>
      </w:r>
      <w:r w:rsidR="00BB6C54">
        <w:t xml:space="preserve">, поскольку текущие розничные цены являются публичными. Равным образом не может рассматриваться в качестве </w:t>
      </w:r>
      <w:r w:rsidR="003832DA">
        <w:t>М</w:t>
      </w:r>
      <w:r w:rsidR="00BB6C54">
        <w:t xml:space="preserve">еханизма обеспечения </w:t>
      </w:r>
      <w:r w:rsidR="003832DA">
        <w:t xml:space="preserve">цен </w:t>
      </w:r>
      <w:r w:rsidR="00BB6C54">
        <w:t>информирование Реселлеров о</w:t>
      </w:r>
      <w:r w:rsidR="00327266">
        <w:t xml:space="preserve"> рекомендованной розничной цене на товар с указанием на рекомендательный характер такой цены, а также о</w:t>
      </w:r>
      <w:r w:rsidR="00BD2318">
        <w:t xml:space="preserve"> возможной экономической целесообразности</w:t>
      </w:r>
      <w:r w:rsidR="000D29D1">
        <w:t xml:space="preserve"> (эффективности) продаж продукции по рекомендованным розничным ценам,</w:t>
      </w:r>
      <w:r w:rsidR="00A53317">
        <w:t xml:space="preserve"> </w:t>
      </w:r>
      <w:r w:rsidR="004E7C05">
        <w:t xml:space="preserve">обусловленной общей конъектурой рынка, конкурентным давлением, уровнем спроса </w:t>
      </w:r>
      <w:r w:rsidR="000D29D1">
        <w:t>и иными рыночными факторами</w:t>
      </w:r>
      <w:r w:rsidR="006A4530">
        <w:t>.</w:t>
      </w:r>
    </w:p>
    <w:p w14:paraId="4DF99A63" w14:textId="77777777" w:rsidR="00BB6C54" w:rsidRDefault="00BB6C54" w:rsidP="00DB693B">
      <w:pPr>
        <w:autoSpaceDE w:val="0"/>
        <w:autoSpaceDN w:val="0"/>
        <w:adjustRightInd w:val="0"/>
        <w:spacing w:after="0" w:line="240" w:lineRule="auto"/>
        <w:jc w:val="both"/>
      </w:pPr>
    </w:p>
    <w:p w14:paraId="64F3D703" w14:textId="6C9E352F" w:rsidR="00783C75" w:rsidRPr="006F7FAD" w:rsidRDefault="006F7FAD" w:rsidP="00783C75">
      <w:pPr>
        <w:pStyle w:val="a3"/>
        <w:numPr>
          <w:ilvl w:val="2"/>
          <w:numId w:val="5"/>
        </w:numPr>
        <w:spacing w:after="0" w:line="240" w:lineRule="auto"/>
        <w:ind w:left="709" w:hanging="709"/>
        <w:contextualSpacing w:val="0"/>
        <w:jc w:val="both"/>
      </w:pPr>
      <w:r>
        <w:rPr>
          <w:b/>
        </w:rPr>
        <w:t>Ф</w:t>
      </w:r>
      <w:r w:rsidR="00783C75" w:rsidRPr="006F7FAD">
        <w:rPr>
          <w:b/>
        </w:rPr>
        <w:t xml:space="preserve">актическое соблюдение ценовых рекомендаций </w:t>
      </w:r>
      <w:r w:rsidR="0076551D">
        <w:rPr>
          <w:b/>
        </w:rPr>
        <w:t>Поставщика</w:t>
      </w:r>
    </w:p>
    <w:p w14:paraId="1A7067A7" w14:textId="77777777" w:rsidR="00783C75" w:rsidRDefault="00783C75" w:rsidP="00C73F33">
      <w:pPr>
        <w:autoSpaceDE w:val="0"/>
        <w:autoSpaceDN w:val="0"/>
        <w:adjustRightInd w:val="0"/>
        <w:spacing w:after="0" w:line="240" w:lineRule="auto"/>
        <w:jc w:val="both"/>
      </w:pPr>
    </w:p>
    <w:p w14:paraId="6C26F792" w14:textId="528F388E" w:rsidR="0077471D" w:rsidRPr="00057C1A" w:rsidRDefault="00B337AB" w:rsidP="0077471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Поскольку обязательным признаком </w:t>
      </w:r>
      <w:proofErr w:type="spellStart"/>
      <w:r>
        <w:t>антиконкурентной</w:t>
      </w:r>
      <w:proofErr w:type="spellEnd"/>
      <w:r>
        <w:t xml:space="preserve"> координации является </w:t>
      </w:r>
      <w:r w:rsidR="00780CAE">
        <w:t xml:space="preserve">именно </w:t>
      </w:r>
      <w:r>
        <w:t xml:space="preserve">фактическое наступление перечисленных в </w:t>
      </w:r>
      <w:r w:rsidR="00780CAE">
        <w:t>З</w:t>
      </w:r>
      <w:r>
        <w:t xml:space="preserve">аконе </w:t>
      </w:r>
      <w:r w:rsidR="00780CAE">
        <w:t xml:space="preserve">о защите конкуренции </w:t>
      </w:r>
      <w:r>
        <w:t>негативных последствий, а не риск их наступления</w:t>
      </w:r>
      <w:r w:rsidRPr="00D947F5">
        <w:t xml:space="preserve">, обязательным </w:t>
      </w:r>
      <w:r w:rsidR="0034771D" w:rsidRPr="00D947F5">
        <w:t>элементом</w:t>
      </w:r>
      <w:r w:rsidRPr="00D947F5">
        <w:t xml:space="preserve"> </w:t>
      </w:r>
      <w:r w:rsidR="001A2ECB" w:rsidRPr="00D947F5">
        <w:t>Ценовой</w:t>
      </w:r>
      <w:r w:rsidRPr="00D947F5">
        <w:t xml:space="preserve"> координации является фактическое </w:t>
      </w:r>
      <w:r w:rsidR="005B127E" w:rsidRPr="00D947F5">
        <w:t xml:space="preserve">соблюдение ценовых рекомендаций </w:t>
      </w:r>
      <w:r w:rsidR="0076551D">
        <w:t>Поставщика</w:t>
      </w:r>
      <w:r w:rsidR="005B127E" w:rsidRPr="00D947F5">
        <w:t xml:space="preserve"> </w:t>
      </w:r>
      <w:r w:rsidR="005C4870" w:rsidRPr="00D947F5">
        <w:t>Р</w:t>
      </w:r>
      <w:r w:rsidR="005B127E" w:rsidRPr="00D947F5">
        <w:t>еселлер</w:t>
      </w:r>
      <w:r w:rsidR="00202D3F">
        <w:t>ами</w:t>
      </w:r>
      <w:r w:rsidR="006D643F" w:rsidRPr="00D947F5">
        <w:t xml:space="preserve">, до сведения </w:t>
      </w:r>
      <w:r w:rsidR="006D643F">
        <w:t xml:space="preserve">которых </w:t>
      </w:r>
      <w:r w:rsidR="0076551D">
        <w:t>Поставщик</w:t>
      </w:r>
      <w:r w:rsidR="006D643F">
        <w:t xml:space="preserve"> </w:t>
      </w:r>
      <w:r w:rsidR="005C4870">
        <w:t>тем или иным образом</w:t>
      </w:r>
      <w:r w:rsidR="006D643F">
        <w:t xml:space="preserve"> довел информацию об уровне рекомендованной розничной цены на продукцию</w:t>
      </w:r>
      <w:r w:rsidR="00D153CA">
        <w:t xml:space="preserve">, при условии, что в отношении Реселлеров </w:t>
      </w:r>
      <w:r w:rsidR="0076551D">
        <w:t>Поставщиком</w:t>
      </w:r>
      <w:r w:rsidR="00D153CA">
        <w:t xml:space="preserve"> был реализован </w:t>
      </w:r>
      <w:r w:rsidR="003832DA">
        <w:t>М</w:t>
      </w:r>
      <w:r w:rsidR="00D153CA">
        <w:t xml:space="preserve">еханизм обеспечения </w:t>
      </w:r>
      <w:r w:rsidR="003832DA">
        <w:t xml:space="preserve">цен, </w:t>
      </w:r>
      <w:r w:rsidR="00D153CA">
        <w:t xml:space="preserve">то есть, </w:t>
      </w:r>
      <w:r w:rsidR="00220359">
        <w:t xml:space="preserve">одинаковая </w:t>
      </w:r>
      <w:r w:rsidR="00D153CA">
        <w:t xml:space="preserve">цена не сложилась </w:t>
      </w:r>
      <w:r w:rsidR="00220359">
        <w:t xml:space="preserve">на рынке в силу объективных рыночных </w:t>
      </w:r>
      <w:r w:rsidR="00220359">
        <w:lastRenderedPageBreak/>
        <w:t>факторов</w:t>
      </w:r>
      <w:r w:rsidR="006D643F">
        <w:t>.</w:t>
      </w:r>
      <w:r w:rsidR="005C4870">
        <w:t xml:space="preserve"> </w:t>
      </w:r>
      <w:r w:rsidR="00202D3F">
        <w:t>В этой связи п</w:t>
      </w:r>
      <w:r w:rsidR="0077471D" w:rsidRPr="00057C1A">
        <w:t xml:space="preserve">ри оценке </w:t>
      </w:r>
      <w:r w:rsidR="003832DA">
        <w:t>М</w:t>
      </w:r>
      <w:r w:rsidR="0077471D" w:rsidRPr="00057C1A">
        <w:t>еханизм</w:t>
      </w:r>
      <w:r w:rsidR="0077471D">
        <w:t>а</w:t>
      </w:r>
      <w:r w:rsidR="0077471D" w:rsidRPr="00057C1A">
        <w:t xml:space="preserve"> обеспечения цен</w:t>
      </w:r>
      <w:r w:rsidR="00265446">
        <w:t xml:space="preserve"> </w:t>
      </w:r>
      <w:r w:rsidR="0077471D" w:rsidRPr="00057C1A">
        <w:t xml:space="preserve">необходимо учитывать возможность Реселлера </w:t>
      </w:r>
      <w:r w:rsidR="00C26B29">
        <w:t>проигнорировать</w:t>
      </w:r>
      <w:r w:rsidR="0077471D" w:rsidRPr="00057C1A">
        <w:t xml:space="preserve"> стимул, </w:t>
      </w:r>
      <w:r w:rsidR="00C26B29">
        <w:t xml:space="preserve">создаваемый </w:t>
      </w:r>
      <w:r w:rsidR="00265446">
        <w:t xml:space="preserve">Механизмом обеспечения цен, </w:t>
      </w:r>
      <w:r w:rsidR="0077471D" w:rsidRPr="00057C1A">
        <w:t xml:space="preserve">т.е. стимул должен быть достаточным для принятия Реселлером решения о </w:t>
      </w:r>
      <w:r w:rsidR="000C05EB">
        <w:t xml:space="preserve">фактическом </w:t>
      </w:r>
      <w:r w:rsidR="0077471D" w:rsidRPr="00057C1A">
        <w:t xml:space="preserve">соблюдении розничной цены, установленной </w:t>
      </w:r>
      <w:r w:rsidR="0076551D">
        <w:t>Поставщиком</w:t>
      </w:r>
      <w:r w:rsidR="0077471D" w:rsidRPr="00057C1A">
        <w:t>.</w:t>
      </w:r>
    </w:p>
    <w:p w14:paraId="48FB1A20" w14:textId="77777777" w:rsidR="00BC4A63" w:rsidRDefault="00BC4A63" w:rsidP="00C73F33">
      <w:pPr>
        <w:autoSpaceDE w:val="0"/>
        <w:autoSpaceDN w:val="0"/>
        <w:adjustRightInd w:val="0"/>
        <w:spacing w:after="0" w:line="240" w:lineRule="auto"/>
        <w:jc w:val="both"/>
      </w:pPr>
    </w:p>
    <w:p w14:paraId="7C1E01FE" w14:textId="465EAC78" w:rsidR="00114388" w:rsidRDefault="00692357" w:rsidP="00C73F3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Помимо </w:t>
      </w:r>
      <w:r w:rsidRPr="00057C1A">
        <w:t>оценк</w:t>
      </w:r>
      <w:r>
        <w:t>и</w:t>
      </w:r>
      <w:r w:rsidRPr="00057C1A">
        <w:t xml:space="preserve"> </w:t>
      </w:r>
      <w:r w:rsidR="00997E02">
        <w:t>М</w:t>
      </w:r>
      <w:r w:rsidRPr="00057C1A">
        <w:t>еханизм</w:t>
      </w:r>
      <w:r>
        <w:t>а</w:t>
      </w:r>
      <w:r w:rsidRPr="00057C1A">
        <w:t xml:space="preserve"> обеспечения </w:t>
      </w:r>
      <w:r w:rsidR="00997E02">
        <w:t>цен</w:t>
      </w:r>
      <w:r w:rsidR="00DA7A89">
        <w:t xml:space="preserve"> </w:t>
      </w:r>
      <w:r w:rsidR="00274C8B">
        <w:t xml:space="preserve">факт соблюдения </w:t>
      </w:r>
      <w:r w:rsidR="00997E02">
        <w:t xml:space="preserve">ценовых рекомендаций </w:t>
      </w:r>
      <w:r w:rsidR="00274C8B">
        <w:t>мо</w:t>
      </w:r>
      <w:r w:rsidR="00B601EF">
        <w:t>жет</w:t>
      </w:r>
      <w:r w:rsidR="00274C8B">
        <w:t xml:space="preserve"> быть </w:t>
      </w:r>
      <w:r w:rsidR="007C6C22">
        <w:t xml:space="preserve">проанализирован на основании поведения самих Реселлеров. Так, </w:t>
      </w:r>
      <w:r w:rsidR="005C4870">
        <w:t xml:space="preserve">если большинство Реселлеров не соблюдают ценовые рекомендации, действия </w:t>
      </w:r>
      <w:r w:rsidR="0076551D">
        <w:t>Поставщика</w:t>
      </w:r>
      <w:r w:rsidR="005C4870">
        <w:t xml:space="preserve"> в связи с направлением Реселлерам рекомендованных розничных цен </w:t>
      </w:r>
      <w:r w:rsidR="00114388">
        <w:t>не следует</w:t>
      </w:r>
      <w:r w:rsidR="005C4870">
        <w:t xml:space="preserve"> считать Ценовой координацией </w:t>
      </w:r>
      <w:r w:rsidR="00114388">
        <w:t>Реселлеров</w:t>
      </w:r>
      <w:r w:rsidR="00114388">
        <w:rPr>
          <w:rStyle w:val="ad"/>
        </w:rPr>
        <w:footnoteReference w:id="13"/>
      </w:r>
      <w:r w:rsidR="005C4870">
        <w:t>.</w:t>
      </w:r>
    </w:p>
    <w:p w14:paraId="75A6E53B" w14:textId="1EB4F18F" w:rsidR="00BC4A63" w:rsidRDefault="00BC4A63" w:rsidP="002A5CFD">
      <w:pPr>
        <w:autoSpaceDE w:val="0"/>
        <w:autoSpaceDN w:val="0"/>
        <w:adjustRightInd w:val="0"/>
        <w:spacing w:after="0" w:line="240" w:lineRule="auto"/>
        <w:jc w:val="both"/>
      </w:pPr>
    </w:p>
    <w:p w14:paraId="0C6195F6" w14:textId="1DEF025F" w:rsidR="00505CB7" w:rsidRDefault="00850CE0" w:rsidP="00C73F33">
      <w:pPr>
        <w:autoSpaceDE w:val="0"/>
        <w:autoSpaceDN w:val="0"/>
        <w:adjustRightInd w:val="0"/>
        <w:spacing w:after="0" w:line="240" w:lineRule="auto"/>
        <w:jc w:val="both"/>
      </w:pPr>
      <w:r>
        <w:t>При определении большинства Реселлеров следует исходить из фактического количества</w:t>
      </w:r>
      <w:r w:rsidR="0053588C">
        <w:t xml:space="preserve"> Реселлеров, которые получали ценовые рекомендации </w:t>
      </w:r>
      <w:r w:rsidR="0076551D">
        <w:t>Поставщика</w:t>
      </w:r>
      <w:r>
        <w:t xml:space="preserve">. </w:t>
      </w:r>
      <w:r w:rsidR="00505CB7">
        <w:t>При распространении ценовых рекомендаций в отношении неопределенного круга Реселлеров фактическое соблюдение ценовых рекомендаций целесообразно анализировать применительно к основным Реселлерам (с точки зрения объемов реализации соответствующей продукции</w:t>
      </w:r>
      <w:r w:rsidR="001C074F">
        <w:t xml:space="preserve"> в рассматриваемый период), действующи</w:t>
      </w:r>
      <w:r w:rsidR="00242EB1">
        <w:t>м</w:t>
      </w:r>
      <w:r w:rsidR="001C074F">
        <w:t xml:space="preserve"> </w:t>
      </w:r>
      <w:r w:rsidR="00505CB7">
        <w:t>в географических границах рынка, определенных антимонопольным органо</w:t>
      </w:r>
      <w:r w:rsidR="00CB10B9">
        <w:t>м</w:t>
      </w:r>
      <w:r w:rsidR="00505CB7">
        <w:t xml:space="preserve"> по делу. </w:t>
      </w:r>
      <w:r w:rsidR="00841B2C">
        <w:t xml:space="preserve">Реселлеры, которые фактически не </w:t>
      </w:r>
      <w:r w:rsidR="00CB29B0">
        <w:t>соблюдают ценовые рекомендации Поставщика, не считаются координируемыми</w:t>
      </w:r>
      <w:r w:rsidR="004F1506">
        <w:t xml:space="preserve"> (объектами Ценовой координации)</w:t>
      </w:r>
      <w:r w:rsidR="00CB29B0">
        <w:t xml:space="preserve">. </w:t>
      </w:r>
      <w:r w:rsidR="001C074F">
        <w:t xml:space="preserve">В любом случае у </w:t>
      </w:r>
      <w:r w:rsidR="0076551D">
        <w:t>Поставщика</w:t>
      </w:r>
      <w:r w:rsidR="00772825">
        <w:t xml:space="preserve"> и Реселлеров</w:t>
      </w:r>
      <w:r w:rsidR="001C074F">
        <w:t xml:space="preserve"> есть право предоставления информации о фактах соблюдения/несоблюдения ценовых рекомендаций Реселлерами.</w:t>
      </w:r>
    </w:p>
    <w:p w14:paraId="53614F0D" w14:textId="77777777" w:rsidR="006D643F" w:rsidRDefault="006D643F" w:rsidP="00C73F33">
      <w:pPr>
        <w:pStyle w:val="a3"/>
        <w:spacing w:after="0" w:line="240" w:lineRule="auto"/>
        <w:contextualSpacing w:val="0"/>
        <w:jc w:val="both"/>
      </w:pPr>
    </w:p>
    <w:p w14:paraId="1FE3F9BB" w14:textId="06512C49" w:rsidR="00E05B11" w:rsidRDefault="00E05B11" w:rsidP="00E05B1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При оценке фактора следования Реселлерами ценовым рекомендациям </w:t>
      </w:r>
      <w:r w:rsidR="0076551D">
        <w:t>Поставщика</w:t>
      </w:r>
      <w:r>
        <w:t xml:space="preserve"> как элемента Ценовой координации </w:t>
      </w:r>
      <w:r w:rsidR="00A22EC2">
        <w:t xml:space="preserve">также </w:t>
      </w:r>
      <w:r>
        <w:t xml:space="preserve">необходимо учитывать, что сам по себе </w:t>
      </w:r>
      <w:r w:rsidRPr="001C074F">
        <w:t xml:space="preserve">факт </w:t>
      </w:r>
      <w:r>
        <w:t xml:space="preserve">установления Реселлерами одинаковой цены на товар, в том числе соответствующей уровню рекомендованной цены </w:t>
      </w:r>
      <w:r w:rsidR="0076551D">
        <w:t>Поставщика</w:t>
      </w:r>
      <w:r w:rsidR="00242EB1">
        <w:t>,</w:t>
      </w:r>
      <w:r>
        <w:t xml:space="preserve"> не</w:t>
      </w:r>
      <w:r w:rsidRPr="001C074F">
        <w:t xml:space="preserve"> </w:t>
      </w:r>
      <w:r>
        <w:t>обязательно</w:t>
      </w:r>
      <w:r w:rsidRPr="001C074F">
        <w:t xml:space="preserve"> свидетельств</w:t>
      </w:r>
      <w:r>
        <w:t>ует</w:t>
      </w:r>
      <w:r w:rsidRPr="001C074F">
        <w:t xml:space="preserve"> о наличии Ценовой координации Реселлеров со стороны </w:t>
      </w:r>
      <w:r w:rsidR="0076551D">
        <w:t>Поставщика</w:t>
      </w:r>
      <w:r w:rsidR="00CA6110">
        <w:t>.</w:t>
      </w:r>
      <w:r w:rsidRPr="001C074F">
        <w:t xml:space="preserve"> </w:t>
      </w:r>
      <w:r w:rsidR="00CA6110">
        <w:t>О</w:t>
      </w:r>
      <w:r>
        <w:t xml:space="preserve">динаковая цена на рынке может сложиться и </w:t>
      </w:r>
      <w:r w:rsidRPr="001C074F">
        <w:t>под воздействием объективных рыночных механизмов, не зависящих от воли каких-либо участников рынка</w:t>
      </w:r>
      <w:r w:rsidR="001E4523">
        <w:t xml:space="preserve">, к примеру, </w:t>
      </w:r>
      <w:r w:rsidR="00CB29B0">
        <w:t xml:space="preserve">сезонные </w:t>
      </w:r>
      <w:r w:rsidR="001E4523">
        <w:t xml:space="preserve">колебания спроса, </w:t>
      </w:r>
      <w:r w:rsidR="00CB29B0">
        <w:t xml:space="preserve">повышенный спрос на новую продукцию на этапе ее вывода на рынок, </w:t>
      </w:r>
      <w:r w:rsidR="001E4523">
        <w:t xml:space="preserve">повышение цен на логистические услуги, колебание курса валют и </w:t>
      </w:r>
      <w:r w:rsidR="008751F6">
        <w:t>других факторов</w:t>
      </w:r>
      <w:r w:rsidR="00642773">
        <w:rPr>
          <w:rStyle w:val="ad"/>
        </w:rPr>
        <w:footnoteReference w:id="14"/>
      </w:r>
      <w:r w:rsidR="001E4523">
        <w:t>.</w:t>
      </w:r>
      <w:r w:rsidRPr="001C074F">
        <w:t xml:space="preserve"> </w:t>
      </w:r>
      <w:r w:rsidR="001F2BFF">
        <w:t xml:space="preserve">Соответственно, при оценке наличия в действиях </w:t>
      </w:r>
      <w:r w:rsidR="0076551D">
        <w:t>Поставщика</w:t>
      </w:r>
      <w:r w:rsidR="002E510C">
        <w:t xml:space="preserve"> признаков Ценовой координации антимонопольным органам следует также анализировать иные факторы помимо коммуникаций со стороны </w:t>
      </w:r>
      <w:r w:rsidR="0076551D">
        <w:t>Поставщика</w:t>
      </w:r>
      <w:r w:rsidR="002E510C">
        <w:t>, которые могли повлиять на ценообразование Реселлеров в рассматриваемый период времени.</w:t>
      </w:r>
    </w:p>
    <w:p w14:paraId="6E23BD0A" w14:textId="77777777" w:rsidR="00D947F5" w:rsidRPr="00D947F5" w:rsidRDefault="00D947F5" w:rsidP="00C73F33">
      <w:pPr>
        <w:pStyle w:val="a3"/>
        <w:spacing w:after="0" w:line="240" w:lineRule="auto"/>
        <w:contextualSpacing w:val="0"/>
        <w:jc w:val="both"/>
      </w:pPr>
    </w:p>
    <w:p w14:paraId="45182673" w14:textId="4130DCBD" w:rsidR="006D643F" w:rsidRDefault="00643E54" w:rsidP="00C73F33">
      <w:pPr>
        <w:spacing w:after="0" w:line="240" w:lineRule="auto"/>
        <w:jc w:val="center"/>
      </w:pPr>
      <w:r>
        <w:t>*</w:t>
      </w:r>
      <w:r>
        <w:tab/>
        <w:t>*</w:t>
      </w:r>
      <w:r>
        <w:tab/>
        <w:t>*</w:t>
      </w:r>
    </w:p>
    <w:sectPr w:rsidR="006D643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791BA" w14:textId="77777777" w:rsidR="00D3669C" w:rsidRDefault="00D3669C" w:rsidP="00747B5C">
      <w:pPr>
        <w:spacing w:after="0" w:line="240" w:lineRule="auto"/>
      </w:pPr>
      <w:r>
        <w:separator/>
      </w:r>
    </w:p>
  </w:endnote>
  <w:endnote w:type="continuationSeparator" w:id="0">
    <w:p w14:paraId="5279FB2B" w14:textId="77777777" w:rsidR="00D3669C" w:rsidRDefault="00D3669C" w:rsidP="00747B5C">
      <w:pPr>
        <w:spacing w:after="0" w:line="240" w:lineRule="auto"/>
      </w:pPr>
      <w:r>
        <w:continuationSeparator/>
      </w:r>
    </w:p>
  </w:endnote>
  <w:endnote w:type="continuationNotice" w:id="1">
    <w:p w14:paraId="65F2B489" w14:textId="77777777" w:rsidR="00D3669C" w:rsidRDefault="00D366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595247"/>
      <w:docPartObj>
        <w:docPartGallery w:val="Page Numbers (Bottom of Page)"/>
        <w:docPartUnique/>
      </w:docPartObj>
    </w:sdtPr>
    <w:sdtEndPr/>
    <w:sdtContent>
      <w:p w14:paraId="6B96A7B7" w14:textId="083EF000" w:rsidR="00F7448D" w:rsidRDefault="00F7448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8E2">
          <w:rPr>
            <w:noProof/>
          </w:rPr>
          <w:t>1</w:t>
        </w:r>
        <w:r>
          <w:fldChar w:fldCharType="end"/>
        </w:r>
      </w:p>
    </w:sdtContent>
  </w:sdt>
  <w:p w14:paraId="0DB875BD" w14:textId="77777777" w:rsidR="00F7448D" w:rsidRDefault="00F744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0149F" w14:textId="77777777" w:rsidR="00D3669C" w:rsidRDefault="00D3669C" w:rsidP="00747B5C">
      <w:pPr>
        <w:spacing w:after="0" w:line="240" w:lineRule="auto"/>
      </w:pPr>
      <w:r>
        <w:separator/>
      </w:r>
    </w:p>
  </w:footnote>
  <w:footnote w:type="continuationSeparator" w:id="0">
    <w:p w14:paraId="7B605588" w14:textId="77777777" w:rsidR="00D3669C" w:rsidRDefault="00D3669C" w:rsidP="00747B5C">
      <w:pPr>
        <w:spacing w:after="0" w:line="240" w:lineRule="auto"/>
      </w:pPr>
      <w:r>
        <w:continuationSeparator/>
      </w:r>
    </w:p>
  </w:footnote>
  <w:footnote w:type="continuationNotice" w:id="1">
    <w:p w14:paraId="5302ACEF" w14:textId="77777777" w:rsidR="00D3669C" w:rsidRDefault="00D3669C">
      <w:pPr>
        <w:spacing w:after="0" w:line="240" w:lineRule="auto"/>
      </w:pPr>
    </w:p>
  </w:footnote>
  <w:footnote w:id="2">
    <w:p w14:paraId="5DBCD00E" w14:textId="3D391241" w:rsidR="00F7448D" w:rsidRDefault="00F7448D" w:rsidP="001E3C64">
      <w:pPr>
        <w:pStyle w:val="ab"/>
        <w:spacing w:after="120"/>
      </w:pPr>
      <w:r>
        <w:rPr>
          <w:rStyle w:val="ad"/>
        </w:rPr>
        <w:footnoteRef/>
      </w:r>
      <w:r>
        <w:t xml:space="preserve"> Согласно п. 3.5 Приказа 220 ассортимент товаров является одним из факторов при выявлении свойств товара, определяющих выбор покупателя в рамках определения продуктовых границ товарного рынка.</w:t>
      </w:r>
    </w:p>
  </w:footnote>
  <w:footnote w:id="3">
    <w:p w14:paraId="08D46567" w14:textId="1637A70C" w:rsidR="00F7448D" w:rsidRDefault="00F7448D" w:rsidP="001E3C64">
      <w:pPr>
        <w:pStyle w:val="ab"/>
        <w:spacing w:after="120"/>
      </w:pPr>
      <w:r>
        <w:rPr>
          <w:rStyle w:val="ad"/>
        </w:rPr>
        <w:footnoteRef/>
      </w:r>
      <w:r>
        <w:t xml:space="preserve"> Согласно п. 3.5 Приказа 220 особенности в системе распространения и сбыта составляют один из факторов при выявлении свойств товара, определяющих выбор покупателя в рамках определения продуктовых границ товарного рынка.</w:t>
      </w:r>
    </w:p>
  </w:footnote>
  <w:footnote w:id="4">
    <w:p w14:paraId="5D284E8E" w14:textId="22A26F3A" w:rsidR="00F7448D" w:rsidRDefault="00F7448D" w:rsidP="001E3C64">
      <w:pPr>
        <w:pStyle w:val="ab"/>
        <w:spacing w:after="120"/>
      </w:pPr>
      <w:r>
        <w:rPr>
          <w:rStyle w:val="ad"/>
        </w:rPr>
        <w:footnoteRef/>
      </w:r>
      <w:r>
        <w:t xml:space="preserve"> Согласно п. 3.5 Приказа 220 условия реализации – это один из факторов при выявлении свойств товара, определяющих выбор покупателя в рамках определения продуктовых границ товарного рынка.</w:t>
      </w:r>
    </w:p>
  </w:footnote>
  <w:footnote w:id="5">
    <w:p w14:paraId="20DE085D" w14:textId="2C4DED57" w:rsidR="00F7448D" w:rsidRDefault="00F7448D" w:rsidP="001E3C64">
      <w:pPr>
        <w:pStyle w:val="ab"/>
        <w:spacing w:after="120"/>
      </w:pPr>
      <w:r>
        <w:rPr>
          <w:rStyle w:val="ad"/>
        </w:rPr>
        <w:footnoteRef/>
      </w:r>
      <w:r>
        <w:t xml:space="preserve"> В соответствии с п. 4.5 Приказа 220 одним из способов определения географических границ рынка является метод установления фактических районов продаж (местоположения приобретателей), хозяйствующих субъектов (продавцов), осуществляющих продажи на рассматриваемом товарном рынке.</w:t>
      </w:r>
    </w:p>
  </w:footnote>
  <w:footnote w:id="6">
    <w:p w14:paraId="2A218F5D" w14:textId="0600B8A9" w:rsidR="00F7448D" w:rsidRDefault="00F7448D" w:rsidP="001E3C64">
      <w:pPr>
        <w:pStyle w:val="ab"/>
        <w:spacing w:after="120"/>
      </w:pPr>
      <w:r>
        <w:rPr>
          <w:rStyle w:val="ad"/>
        </w:rPr>
        <w:footnoteRef/>
      </w:r>
      <w:r>
        <w:t xml:space="preserve"> </w:t>
      </w:r>
      <w:r w:rsidRPr="003D7357">
        <w:t>Данные фактор (осуществление собственного производства товара) также учитывается в рамках оценки конкурентных отношений производителя и дистрибьютора согласно Разъяснению № 2 Президиума ФАС России от 17 февраля 2016 г. «Вертикальные» соглашения, в том числе дилерские соглашения».</w:t>
      </w:r>
    </w:p>
  </w:footnote>
  <w:footnote w:id="7">
    <w:p w14:paraId="2B9950BC" w14:textId="461DA40D" w:rsidR="00F7448D" w:rsidRDefault="00F7448D" w:rsidP="001E3C64">
      <w:pPr>
        <w:pStyle w:val="ab"/>
      </w:pPr>
      <w:r>
        <w:rPr>
          <w:rStyle w:val="ad"/>
        </w:rPr>
        <w:footnoteRef/>
      </w:r>
      <w:r>
        <w:t xml:space="preserve"> Такой подход отражен в ряде решений ФАС России, например, в решении по делу </w:t>
      </w:r>
      <w:r w:rsidRPr="000B01DE">
        <w:t>№ 1-11-59/00-22-16 от 14 марта 2017 г.</w:t>
      </w:r>
      <w:r>
        <w:t xml:space="preserve"> в отношении ООО «Эппл Рус».</w:t>
      </w:r>
    </w:p>
  </w:footnote>
  <w:footnote w:id="8">
    <w:p w14:paraId="304BDBE1" w14:textId="6199C09E" w:rsidR="00F7448D" w:rsidRPr="00C82F29" w:rsidRDefault="00F7448D" w:rsidP="001E3C64">
      <w:pPr>
        <w:pStyle w:val="ab"/>
        <w:spacing w:after="120"/>
      </w:pPr>
      <w:r>
        <w:rPr>
          <w:rStyle w:val="ad"/>
        </w:rPr>
        <w:footnoteRef/>
      </w:r>
      <w:r>
        <w:t xml:space="preserve"> </w:t>
      </w:r>
      <w:r w:rsidRPr="00D42562">
        <w:t>Подобная позиция была</w:t>
      </w:r>
      <w:r w:rsidRPr="0087062E">
        <w:t xml:space="preserve"> </w:t>
      </w:r>
      <w:r w:rsidRPr="00D42562">
        <w:t>изложена</w:t>
      </w:r>
      <w:r>
        <w:t xml:space="preserve"> </w:t>
      </w:r>
      <w:r w:rsidRPr="00D42562">
        <w:t xml:space="preserve">в Решении </w:t>
      </w:r>
      <w:r>
        <w:t xml:space="preserve">ФАС России </w:t>
      </w:r>
      <w:r w:rsidRPr="00D42562">
        <w:t>по делу № 1-11-38/00-05-15</w:t>
      </w:r>
      <w:r>
        <w:t xml:space="preserve"> от 25 декабря 2015 г. в отношении </w:t>
      </w:r>
      <w:r w:rsidRPr="0087062E">
        <w:t>ООО</w:t>
      </w:r>
      <w:r>
        <w:t> </w:t>
      </w:r>
      <w:r w:rsidRPr="0087062E">
        <w:t xml:space="preserve">«Форд </w:t>
      </w:r>
      <w:r w:rsidRPr="0087062E">
        <w:t>Соллерс Холдинг»</w:t>
      </w:r>
      <w:r>
        <w:t xml:space="preserve">. Допустимость установления максимальных цен </w:t>
      </w:r>
      <w:r w:rsidRPr="00C82F29">
        <w:t>в отношении всей логистической цепочки продажи товара (а не только в отношении Прямых Реселлеров) также предусмотрена, например, в п. 4.3.8 Кодекса добросовестных практик в фармацевтической отрасли от 9 апреля 2016 г., который был согласован с ФАС России.</w:t>
      </w:r>
    </w:p>
  </w:footnote>
  <w:footnote w:id="9">
    <w:p w14:paraId="1B47B089" w14:textId="045B1232" w:rsidR="00F7448D" w:rsidRDefault="00F7448D" w:rsidP="001E3C64">
      <w:pPr>
        <w:pStyle w:val="ab"/>
        <w:spacing w:after="120"/>
      </w:pPr>
      <w:r>
        <w:rPr>
          <w:rStyle w:val="ad"/>
        </w:rPr>
        <w:footnoteRef/>
      </w:r>
      <w:r>
        <w:t xml:space="preserve"> Такой подход получил свое отражение, например, в Разъяснениях ФАС России </w:t>
      </w:r>
      <w:r w:rsidRPr="0093614E">
        <w:t>№</w:t>
      </w:r>
      <w:r>
        <w:t> </w:t>
      </w:r>
      <w:r w:rsidRPr="0093614E">
        <w:t>АК/39035/17</w:t>
      </w:r>
      <w:r>
        <w:t xml:space="preserve"> </w:t>
      </w:r>
      <w:r w:rsidRPr="0093614E">
        <w:t>от 9</w:t>
      </w:r>
      <w:r>
        <w:t xml:space="preserve"> июня </w:t>
      </w:r>
      <w:r w:rsidRPr="0093614E">
        <w:t>2017</w:t>
      </w:r>
      <w:r>
        <w:t xml:space="preserve"> г. о применении положений </w:t>
      </w:r>
      <w:r w:rsidRPr="00F308C7">
        <w:t>Федерального закона «Об основах государственного регулирования торговой деятельности в Российской Федерации» № 381-ФЗ от 28 декабря 2009 г.</w:t>
      </w:r>
    </w:p>
  </w:footnote>
  <w:footnote w:id="10">
    <w:p w14:paraId="522E4C90" w14:textId="563A9875" w:rsidR="00F7448D" w:rsidRPr="00AC002D" w:rsidRDefault="00F7448D" w:rsidP="001E3C64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AC002D">
        <w:rPr>
          <w:rStyle w:val="ad"/>
          <w:sz w:val="20"/>
          <w:szCs w:val="20"/>
        </w:rPr>
        <w:footnoteRef/>
      </w:r>
      <w:r w:rsidRPr="00AC002D">
        <w:rPr>
          <w:sz w:val="20"/>
          <w:szCs w:val="20"/>
        </w:rPr>
        <w:t xml:space="preserve"> В Решении Апелляционной коллегии ФАС России от 30 октября 2018 г. по жалобе на Решение Рязанского УФАС России от 31 июля 2018 г. по делу о нарушении антимонопольного законодательства № 2246-04-1/2018 в отношении агрегатора такси ООО «МАКСИМ-РЯЗАНЬ» не было установлено факта Ценовой координации на рынке услуг такси</w:t>
      </w:r>
      <w:r>
        <w:rPr>
          <w:sz w:val="20"/>
          <w:szCs w:val="20"/>
        </w:rPr>
        <w:t xml:space="preserve"> из-за того, что действия агрегатора такси были признаны недостаточными для создания стимула для соблюдения рекомендованной цены перевозчиками</w:t>
      </w:r>
      <w:r w:rsidRPr="00AC002D">
        <w:rPr>
          <w:sz w:val="20"/>
          <w:szCs w:val="20"/>
        </w:rPr>
        <w:t>: «…</w:t>
      </w:r>
      <w:r w:rsidRPr="00AC002D">
        <w:rPr>
          <w:i/>
          <w:sz w:val="20"/>
          <w:szCs w:val="20"/>
        </w:rPr>
        <w:t>на рынке информационных услуг в сфере перевозок легковым такси на территории города Рязань действует несколько операторов, являющихся конкурентами друг другу. Перевозчики никак не ограничиваются в выборе оператора … следовательно, если по какой-либо причине цена поездки, рекомендованная одним оператором, не устраивает перевозчика, он может без дополнительных издержек заменить услугу этого оператора услугой его конкурента. В связи с этим также отсутствуют последствия в виде поддержания цены перевозки легковым такси на территории города Рязань</w:t>
      </w:r>
      <w:r w:rsidRPr="00AC002D">
        <w:rPr>
          <w:sz w:val="20"/>
          <w:szCs w:val="20"/>
        </w:rPr>
        <w:t xml:space="preserve">». </w:t>
      </w:r>
    </w:p>
  </w:footnote>
  <w:footnote w:id="11">
    <w:p w14:paraId="421E0B36" w14:textId="5B79ADDB" w:rsidR="00F7448D" w:rsidRDefault="00F7448D" w:rsidP="001E3C64">
      <w:pPr>
        <w:pStyle w:val="ab"/>
        <w:spacing w:after="120"/>
      </w:pPr>
      <w:r>
        <w:rPr>
          <w:rStyle w:val="ad"/>
        </w:rPr>
        <w:footnoteRef/>
      </w:r>
      <w:r>
        <w:t xml:space="preserve"> На наличие активного механизма </w:t>
      </w:r>
      <w:r w:rsidRPr="00E92E5A">
        <w:t xml:space="preserve">обеспечения соблюдения </w:t>
      </w:r>
      <w:r>
        <w:t xml:space="preserve">Реселлерами розничных </w:t>
      </w:r>
      <w:r w:rsidRPr="00E92E5A">
        <w:t>цен</w:t>
      </w:r>
      <w:r>
        <w:t xml:space="preserve"> как необходимое условие Ценовой координации также указывают арбитражные суды при применении запрета на Ценовую координацию. Так, в Определении </w:t>
      </w:r>
      <w:r w:rsidRPr="00533A25">
        <w:t xml:space="preserve">№ 305-АД15-10488 </w:t>
      </w:r>
      <w:r>
        <w:t xml:space="preserve"> </w:t>
      </w:r>
      <w:r w:rsidRPr="00533A25">
        <w:t>по делу № А40-143256/2013</w:t>
      </w:r>
      <w:r>
        <w:t xml:space="preserve"> </w:t>
      </w:r>
      <w:r w:rsidRPr="00533A25">
        <w:t>от 17</w:t>
      </w:r>
      <w:r>
        <w:t xml:space="preserve"> февраля </w:t>
      </w:r>
      <w:r w:rsidRPr="00533A25">
        <w:t>2016</w:t>
      </w:r>
      <w:r>
        <w:t> г.</w:t>
      </w:r>
      <w:r w:rsidRPr="00533A25">
        <w:t xml:space="preserve"> </w:t>
      </w:r>
      <w:r>
        <w:t>в отношении предполагаемой Ценовой координации на рынке оптовых поставок филе пангасиуса в России Верховный Суд РФ отметил, что в контексте Ценовой координации «</w:t>
      </w:r>
      <w:r w:rsidRPr="00CE3D81">
        <w:rPr>
          <w:i/>
        </w:rPr>
        <w:t>согласование предполагает совершение каких-либо активных действий со стороны координатора по отношению к субъектам, чьи действия необходимо согласовать</w:t>
      </w:r>
      <w:r>
        <w:t>».</w:t>
      </w:r>
    </w:p>
  </w:footnote>
  <w:footnote w:id="12">
    <w:p w14:paraId="14F7DA69" w14:textId="18166AA0" w:rsidR="00F7448D" w:rsidRDefault="00F7448D" w:rsidP="001E3C64">
      <w:pPr>
        <w:pStyle w:val="ab"/>
        <w:spacing w:after="120"/>
      </w:pPr>
      <w:r>
        <w:rPr>
          <w:rStyle w:val="ad"/>
        </w:rPr>
        <w:footnoteRef/>
      </w:r>
      <w:r>
        <w:t xml:space="preserve"> Подобные действия были признаны одним из элементов обеспечения соблюдения ценовых рекомендаций в</w:t>
      </w:r>
      <w:bookmarkStart w:id="2" w:name="_Hlk20852610"/>
      <w:r w:rsidRPr="00484CC7">
        <w:t xml:space="preserve"> </w:t>
      </w:r>
      <w:r w:rsidRPr="001C074F">
        <w:t xml:space="preserve">Решении </w:t>
      </w:r>
      <w:r>
        <w:t xml:space="preserve">ФАС России по делу </w:t>
      </w:r>
      <w:r w:rsidRPr="001C074F">
        <w:t>№ 1-11-59/00-22-16 от 14 марта 2017 г. в отношении ООО «Эппл Рус»</w:t>
      </w:r>
      <w:r>
        <w:t>.</w:t>
      </w:r>
      <w:bookmarkEnd w:id="2"/>
    </w:p>
  </w:footnote>
  <w:footnote w:id="13">
    <w:p w14:paraId="63EB734C" w14:textId="1DDBCA46" w:rsidR="00F7448D" w:rsidRDefault="00F7448D" w:rsidP="001E3C64">
      <w:pPr>
        <w:autoSpaceDE w:val="0"/>
        <w:autoSpaceDN w:val="0"/>
        <w:adjustRightInd w:val="0"/>
        <w:spacing w:after="120" w:line="240" w:lineRule="auto"/>
      </w:pPr>
      <w:r w:rsidRPr="00AC002D">
        <w:rPr>
          <w:rStyle w:val="ad"/>
          <w:sz w:val="20"/>
          <w:szCs w:val="20"/>
        </w:rPr>
        <w:footnoteRef/>
      </w:r>
      <w:r w:rsidRPr="00AC002D">
        <w:rPr>
          <w:sz w:val="20"/>
          <w:szCs w:val="20"/>
        </w:rPr>
        <w:t xml:space="preserve"> Например, в Решении по делу № 1-00-49/00-05-18 от 18 сентября 2018 г. в отношении ПАО «АВТОВАЗ» ФАС России пришла к выводу об отсутствии в действиях ПАО «АВТОВАЗ» по установлении для дилеров рекомендованных цен на техническое обслуживание автомобилей «ВАЗ» ввиду того, что «</w:t>
      </w:r>
      <w:r w:rsidRPr="00AC002D">
        <w:rPr>
          <w:i/>
          <w:sz w:val="20"/>
          <w:szCs w:val="20"/>
        </w:rPr>
        <w:t>с учетом анализа статистических данных …, а также результатов опроса уполномоченных дилеров, Комиссия ФАС России, отмечает …, что большинство опрошенных дилеров оказывало услуги по техническому обслуживанию автомобилей по ценам, отличным от регламентированных цен, установленных ПАО «АВТОВАЗ», и устанавливало собственные цены на техническое обслуживание» большинство опрошенных дилеров оказывало услуги по техническому обслуживанию автомобилей по ценам, отличным от регламентированных цен, установленных ПАО «АВТОВАЗ</w:t>
      </w:r>
      <w:r w:rsidRPr="00AC002D">
        <w:rPr>
          <w:sz w:val="20"/>
          <w:szCs w:val="20"/>
        </w:rPr>
        <w:t>».</w:t>
      </w:r>
    </w:p>
  </w:footnote>
  <w:footnote w:id="14">
    <w:p w14:paraId="2EEB901C" w14:textId="42CDA9B2" w:rsidR="00F7448D" w:rsidRDefault="00F7448D" w:rsidP="001E3C64">
      <w:pPr>
        <w:pStyle w:val="ab"/>
      </w:pPr>
      <w:r>
        <w:rPr>
          <w:rStyle w:val="ad"/>
        </w:rPr>
        <w:footnoteRef/>
      </w:r>
      <w:r>
        <w:t xml:space="preserve"> Например, в</w:t>
      </w:r>
      <w:r w:rsidRPr="001C074F">
        <w:t xml:space="preserve"> Решении </w:t>
      </w:r>
      <w:r>
        <w:t xml:space="preserve">по делу </w:t>
      </w:r>
      <w:r w:rsidRPr="001C074F">
        <w:t>№ 1-11-59/00-22-16 от 14 марта 2017 г. в отношении ООО «Эппл Рус»</w:t>
      </w:r>
      <w:r w:rsidRPr="007A2FB6">
        <w:t xml:space="preserve"> </w:t>
      </w:r>
      <w:r w:rsidRPr="001C074F">
        <w:t xml:space="preserve">Комиссия </w:t>
      </w:r>
      <w:r>
        <w:t>ФАС России</w:t>
      </w:r>
      <w:r w:rsidRPr="001C074F">
        <w:t xml:space="preserve"> </w:t>
      </w:r>
      <w:r>
        <w:t>отметила: «</w:t>
      </w:r>
      <w:r w:rsidRPr="00DB693B">
        <w:rPr>
          <w:i/>
        </w:rPr>
        <w:t>на установление реселлерами розничных цен на старте продаж мог оказывать влияние повышенный спрос на новые модели смартфонов, зачастую превышающий предложение</w:t>
      </w:r>
      <w:r>
        <w:t xml:space="preserve">». К похожему выводу пришла </w:t>
      </w:r>
      <w:r w:rsidRPr="00057C1A">
        <w:t>Апелляционн</w:t>
      </w:r>
      <w:r>
        <w:t>ая</w:t>
      </w:r>
      <w:r w:rsidRPr="00057C1A">
        <w:t xml:space="preserve"> коллеги</w:t>
      </w:r>
      <w:r>
        <w:t>я</w:t>
      </w:r>
      <w:r w:rsidRPr="00057C1A">
        <w:t xml:space="preserve"> </w:t>
      </w:r>
      <w:r>
        <w:t>ФАС России</w:t>
      </w:r>
      <w:r w:rsidRPr="00057C1A">
        <w:t xml:space="preserve"> </w:t>
      </w:r>
      <w:r>
        <w:t xml:space="preserve">в Решении </w:t>
      </w:r>
      <w:r w:rsidRPr="00057C1A">
        <w:t xml:space="preserve">от </w:t>
      </w:r>
      <w:r>
        <w:t xml:space="preserve">7 февраля 2017 г. по жалобе на Решение </w:t>
      </w:r>
      <w:r w:rsidRPr="00601D52">
        <w:t xml:space="preserve">Татарстанского </w:t>
      </w:r>
      <w:r>
        <w:t>УФАС России</w:t>
      </w:r>
      <w:r w:rsidRPr="00601D52">
        <w:t xml:space="preserve"> от 21.10.2016 по делу № 05-51/2015</w:t>
      </w:r>
      <w:r>
        <w:t xml:space="preserve"> о предполагаемой Ценовой координации производителей сахара </w:t>
      </w:r>
      <w:r w:rsidRPr="00601D52">
        <w:t xml:space="preserve">НО «Союз </w:t>
      </w:r>
      <w:r w:rsidRPr="00601D52">
        <w:t>сахаропроизводителей</w:t>
      </w:r>
      <w:r>
        <w:t xml:space="preserve"> </w:t>
      </w:r>
      <w:r w:rsidRPr="00601D52">
        <w:t>России»</w:t>
      </w:r>
      <w:r>
        <w:t>: «</w:t>
      </w:r>
      <w:r w:rsidRPr="008E49A5">
        <w:rPr>
          <w:i/>
        </w:rPr>
        <w:t>сам по себе факт того, что цены производителей сахара коррелируются с индексом цен ИКАР, не может свидетельствовать о наличии между ними антиконкурентного соглашения</w:t>
      </w:r>
      <w:r>
        <w:t>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A0B9B" w14:textId="48A7E723" w:rsidR="00F7448D" w:rsidRPr="00C83641" w:rsidRDefault="00F7448D" w:rsidP="00C83641">
    <w:pPr>
      <w:pStyle w:val="a7"/>
      <w:jc w:val="right"/>
      <w:rPr>
        <w:caps/>
      </w:rPr>
    </w:pPr>
    <w:r w:rsidRPr="00C83641">
      <w:rPr>
        <w:caps/>
      </w:rPr>
      <w:t xml:space="preserve">Проект для обсуждения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8F9"/>
    <w:multiLevelType w:val="hybridMultilevel"/>
    <w:tmpl w:val="1136C3C4"/>
    <w:lvl w:ilvl="0" w:tplc="A754E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30355"/>
    <w:multiLevelType w:val="hybridMultilevel"/>
    <w:tmpl w:val="1136C3C4"/>
    <w:lvl w:ilvl="0" w:tplc="A754E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AB3"/>
    <w:multiLevelType w:val="hybridMultilevel"/>
    <w:tmpl w:val="A46EA08A"/>
    <w:lvl w:ilvl="0" w:tplc="4F5E5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ECD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B40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C05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26E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6C3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748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E89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A9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BF6E5A"/>
    <w:multiLevelType w:val="hybridMultilevel"/>
    <w:tmpl w:val="72EAFBD4"/>
    <w:lvl w:ilvl="0" w:tplc="AA3AE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4A4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C83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8C6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5C7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36E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8F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660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E0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C074FC"/>
    <w:multiLevelType w:val="hybridMultilevel"/>
    <w:tmpl w:val="57B65E48"/>
    <w:lvl w:ilvl="0" w:tplc="8092D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CD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A8F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B21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70B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649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2F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F07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DA3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C226EE"/>
    <w:multiLevelType w:val="hybridMultilevel"/>
    <w:tmpl w:val="95C8916E"/>
    <w:lvl w:ilvl="0" w:tplc="28D254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AA1E98"/>
    <w:multiLevelType w:val="hybridMultilevel"/>
    <w:tmpl w:val="BE9A9E98"/>
    <w:lvl w:ilvl="0" w:tplc="B038F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444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108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A4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88E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1C5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C8E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29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967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A3D4544"/>
    <w:multiLevelType w:val="hybridMultilevel"/>
    <w:tmpl w:val="1136C3C4"/>
    <w:lvl w:ilvl="0" w:tplc="A754E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1190D"/>
    <w:multiLevelType w:val="multilevel"/>
    <w:tmpl w:val="3BE8A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E94D27"/>
    <w:multiLevelType w:val="hybridMultilevel"/>
    <w:tmpl w:val="1BEEBEEC"/>
    <w:lvl w:ilvl="0" w:tplc="E1762E1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E7F75"/>
    <w:multiLevelType w:val="hybridMultilevel"/>
    <w:tmpl w:val="8A627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42DF9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5B"/>
    <w:rsid w:val="0000189F"/>
    <w:rsid w:val="00004BE6"/>
    <w:rsid w:val="00006173"/>
    <w:rsid w:val="000078A6"/>
    <w:rsid w:val="000078C0"/>
    <w:rsid w:val="00010BE6"/>
    <w:rsid w:val="000133C7"/>
    <w:rsid w:val="0001489E"/>
    <w:rsid w:val="00014AF9"/>
    <w:rsid w:val="000154BC"/>
    <w:rsid w:val="00017058"/>
    <w:rsid w:val="00017AC4"/>
    <w:rsid w:val="0002232D"/>
    <w:rsid w:val="000244BF"/>
    <w:rsid w:val="0002606C"/>
    <w:rsid w:val="00027B34"/>
    <w:rsid w:val="00031673"/>
    <w:rsid w:val="00032BC6"/>
    <w:rsid w:val="00032C8D"/>
    <w:rsid w:val="00032FB4"/>
    <w:rsid w:val="0003417E"/>
    <w:rsid w:val="000373C4"/>
    <w:rsid w:val="000466E2"/>
    <w:rsid w:val="00046FFA"/>
    <w:rsid w:val="00047591"/>
    <w:rsid w:val="00051453"/>
    <w:rsid w:val="000535D4"/>
    <w:rsid w:val="000559FF"/>
    <w:rsid w:val="000561BF"/>
    <w:rsid w:val="000572A8"/>
    <w:rsid w:val="00057C1A"/>
    <w:rsid w:val="00060CB4"/>
    <w:rsid w:val="00061CE5"/>
    <w:rsid w:val="000650D4"/>
    <w:rsid w:val="000663F6"/>
    <w:rsid w:val="00066D74"/>
    <w:rsid w:val="000707AB"/>
    <w:rsid w:val="000710CB"/>
    <w:rsid w:val="00072159"/>
    <w:rsid w:val="000725D4"/>
    <w:rsid w:val="00072D1A"/>
    <w:rsid w:val="00075191"/>
    <w:rsid w:val="00077CC9"/>
    <w:rsid w:val="000851B8"/>
    <w:rsid w:val="000911CE"/>
    <w:rsid w:val="00091340"/>
    <w:rsid w:val="00094E6A"/>
    <w:rsid w:val="000A2880"/>
    <w:rsid w:val="000A2D7D"/>
    <w:rsid w:val="000A53E3"/>
    <w:rsid w:val="000A5746"/>
    <w:rsid w:val="000B01DE"/>
    <w:rsid w:val="000B02C1"/>
    <w:rsid w:val="000B1299"/>
    <w:rsid w:val="000B469C"/>
    <w:rsid w:val="000C05EB"/>
    <w:rsid w:val="000C202B"/>
    <w:rsid w:val="000C67FA"/>
    <w:rsid w:val="000D1428"/>
    <w:rsid w:val="000D29D1"/>
    <w:rsid w:val="000D2EEF"/>
    <w:rsid w:val="000D3A75"/>
    <w:rsid w:val="000D66AC"/>
    <w:rsid w:val="000D6CA4"/>
    <w:rsid w:val="000D71B6"/>
    <w:rsid w:val="000E1CE6"/>
    <w:rsid w:val="000E318A"/>
    <w:rsid w:val="000E40B3"/>
    <w:rsid w:val="000F46A2"/>
    <w:rsid w:val="000F6BE8"/>
    <w:rsid w:val="000F6CFE"/>
    <w:rsid w:val="000F6E95"/>
    <w:rsid w:val="00105E30"/>
    <w:rsid w:val="00106491"/>
    <w:rsid w:val="00106E6D"/>
    <w:rsid w:val="0010781E"/>
    <w:rsid w:val="00112E03"/>
    <w:rsid w:val="00114388"/>
    <w:rsid w:val="00114D81"/>
    <w:rsid w:val="00116382"/>
    <w:rsid w:val="00116B46"/>
    <w:rsid w:val="00116FC3"/>
    <w:rsid w:val="001204DC"/>
    <w:rsid w:val="001208C6"/>
    <w:rsid w:val="0012130D"/>
    <w:rsid w:val="00121579"/>
    <w:rsid w:val="00125021"/>
    <w:rsid w:val="0012675D"/>
    <w:rsid w:val="00126A3D"/>
    <w:rsid w:val="00127745"/>
    <w:rsid w:val="00127831"/>
    <w:rsid w:val="00127F29"/>
    <w:rsid w:val="001325E8"/>
    <w:rsid w:val="00132C99"/>
    <w:rsid w:val="001334C2"/>
    <w:rsid w:val="0013363B"/>
    <w:rsid w:val="00133ECB"/>
    <w:rsid w:val="00134A6B"/>
    <w:rsid w:val="00134BC9"/>
    <w:rsid w:val="00135713"/>
    <w:rsid w:val="00136650"/>
    <w:rsid w:val="00136A9D"/>
    <w:rsid w:val="00136ABB"/>
    <w:rsid w:val="00141E74"/>
    <w:rsid w:val="0014449B"/>
    <w:rsid w:val="00144DD8"/>
    <w:rsid w:val="00145CC5"/>
    <w:rsid w:val="001475F6"/>
    <w:rsid w:val="001530BD"/>
    <w:rsid w:val="0015402D"/>
    <w:rsid w:val="001544E6"/>
    <w:rsid w:val="0015607B"/>
    <w:rsid w:val="00160760"/>
    <w:rsid w:val="00160E8F"/>
    <w:rsid w:val="00160EE0"/>
    <w:rsid w:val="00165A9E"/>
    <w:rsid w:val="001662BC"/>
    <w:rsid w:val="001665DA"/>
    <w:rsid w:val="00171660"/>
    <w:rsid w:val="00171D9E"/>
    <w:rsid w:val="00176CCB"/>
    <w:rsid w:val="00176E01"/>
    <w:rsid w:val="001773DC"/>
    <w:rsid w:val="00177571"/>
    <w:rsid w:val="00180274"/>
    <w:rsid w:val="0018372E"/>
    <w:rsid w:val="00183B34"/>
    <w:rsid w:val="00184467"/>
    <w:rsid w:val="001852B3"/>
    <w:rsid w:val="00185D2F"/>
    <w:rsid w:val="00195ED4"/>
    <w:rsid w:val="001966B4"/>
    <w:rsid w:val="001A1246"/>
    <w:rsid w:val="001A204F"/>
    <w:rsid w:val="001A212B"/>
    <w:rsid w:val="001A2B2B"/>
    <w:rsid w:val="001A2ECB"/>
    <w:rsid w:val="001A4235"/>
    <w:rsid w:val="001A581D"/>
    <w:rsid w:val="001A59EE"/>
    <w:rsid w:val="001A7BA3"/>
    <w:rsid w:val="001B03B0"/>
    <w:rsid w:val="001B09F1"/>
    <w:rsid w:val="001B1F24"/>
    <w:rsid w:val="001B2146"/>
    <w:rsid w:val="001C074F"/>
    <w:rsid w:val="001C5317"/>
    <w:rsid w:val="001D3008"/>
    <w:rsid w:val="001D49BD"/>
    <w:rsid w:val="001D5E09"/>
    <w:rsid w:val="001D627A"/>
    <w:rsid w:val="001D7200"/>
    <w:rsid w:val="001E19B4"/>
    <w:rsid w:val="001E364E"/>
    <w:rsid w:val="001E3C64"/>
    <w:rsid w:val="001E4523"/>
    <w:rsid w:val="001E45A4"/>
    <w:rsid w:val="001E4EE8"/>
    <w:rsid w:val="001E5239"/>
    <w:rsid w:val="001E6B28"/>
    <w:rsid w:val="001F0682"/>
    <w:rsid w:val="001F0BDE"/>
    <w:rsid w:val="001F2BFF"/>
    <w:rsid w:val="001F3B40"/>
    <w:rsid w:val="001F52A4"/>
    <w:rsid w:val="001F5D70"/>
    <w:rsid w:val="001F6397"/>
    <w:rsid w:val="001F6C0C"/>
    <w:rsid w:val="001F6C5C"/>
    <w:rsid w:val="001F6CC1"/>
    <w:rsid w:val="001F713B"/>
    <w:rsid w:val="00202167"/>
    <w:rsid w:val="00202D3F"/>
    <w:rsid w:val="00203B89"/>
    <w:rsid w:val="00204A7B"/>
    <w:rsid w:val="00206284"/>
    <w:rsid w:val="00211DAC"/>
    <w:rsid w:val="002125E5"/>
    <w:rsid w:val="002179E8"/>
    <w:rsid w:val="00220359"/>
    <w:rsid w:val="002209F2"/>
    <w:rsid w:val="002243BA"/>
    <w:rsid w:val="00225710"/>
    <w:rsid w:val="00227B0A"/>
    <w:rsid w:val="00233048"/>
    <w:rsid w:val="00234DE1"/>
    <w:rsid w:val="00241317"/>
    <w:rsid w:val="00241879"/>
    <w:rsid w:val="00242445"/>
    <w:rsid w:val="00242B80"/>
    <w:rsid w:val="00242EB1"/>
    <w:rsid w:val="00244156"/>
    <w:rsid w:val="00246B17"/>
    <w:rsid w:val="002479C3"/>
    <w:rsid w:val="00251861"/>
    <w:rsid w:val="00255CD8"/>
    <w:rsid w:val="00255DF4"/>
    <w:rsid w:val="00256C40"/>
    <w:rsid w:val="00262E51"/>
    <w:rsid w:val="002631CE"/>
    <w:rsid w:val="00264FF4"/>
    <w:rsid w:val="00265446"/>
    <w:rsid w:val="00267475"/>
    <w:rsid w:val="00267EFA"/>
    <w:rsid w:val="00273379"/>
    <w:rsid w:val="00273505"/>
    <w:rsid w:val="00274C8B"/>
    <w:rsid w:val="00274FE1"/>
    <w:rsid w:val="00275F31"/>
    <w:rsid w:val="0027668B"/>
    <w:rsid w:val="00280276"/>
    <w:rsid w:val="00281E53"/>
    <w:rsid w:val="00282552"/>
    <w:rsid w:val="0028489B"/>
    <w:rsid w:val="00285449"/>
    <w:rsid w:val="00286D86"/>
    <w:rsid w:val="00293F27"/>
    <w:rsid w:val="002A4AD0"/>
    <w:rsid w:val="002A5CFD"/>
    <w:rsid w:val="002A6039"/>
    <w:rsid w:val="002A7A97"/>
    <w:rsid w:val="002A7F45"/>
    <w:rsid w:val="002B0BC1"/>
    <w:rsid w:val="002B1782"/>
    <w:rsid w:val="002B45C2"/>
    <w:rsid w:val="002B718D"/>
    <w:rsid w:val="002C40B9"/>
    <w:rsid w:val="002C43C6"/>
    <w:rsid w:val="002D05C9"/>
    <w:rsid w:val="002D13FD"/>
    <w:rsid w:val="002D1579"/>
    <w:rsid w:val="002D1DF1"/>
    <w:rsid w:val="002D20ED"/>
    <w:rsid w:val="002D2103"/>
    <w:rsid w:val="002D34EB"/>
    <w:rsid w:val="002D6A89"/>
    <w:rsid w:val="002D704C"/>
    <w:rsid w:val="002D7F48"/>
    <w:rsid w:val="002E115A"/>
    <w:rsid w:val="002E1555"/>
    <w:rsid w:val="002E510C"/>
    <w:rsid w:val="002E5599"/>
    <w:rsid w:val="002E5EC4"/>
    <w:rsid w:val="002E61C7"/>
    <w:rsid w:val="002F2B1D"/>
    <w:rsid w:val="002F2B1E"/>
    <w:rsid w:val="002F2DC8"/>
    <w:rsid w:val="002F304C"/>
    <w:rsid w:val="002F38C2"/>
    <w:rsid w:val="002F4AC3"/>
    <w:rsid w:val="002F637B"/>
    <w:rsid w:val="002F7FFC"/>
    <w:rsid w:val="00300FB5"/>
    <w:rsid w:val="003012B8"/>
    <w:rsid w:val="00303CDA"/>
    <w:rsid w:val="003106D6"/>
    <w:rsid w:val="003120A3"/>
    <w:rsid w:val="00313FD9"/>
    <w:rsid w:val="003172E2"/>
    <w:rsid w:val="00327266"/>
    <w:rsid w:val="00331277"/>
    <w:rsid w:val="00336CC3"/>
    <w:rsid w:val="00336E9F"/>
    <w:rsid w:val="00342941"/>
    <w:rsid w:val="00343F4C"/>
    <w:rsid w:val="003448B5"/>
    <w:rsid w:val="00346870"/>
    <w:rsid w:val="00346DE8"/>
    <w:rsid w:val="0034771D"/>
    <w:rsid w:val="0035138C"/>
    <w:rsid w:val="00351A63"/>
    <w:rsid w:val="00351DB3"/>
    <w:rsid w:val="003623AD"/>
    <w:rsid w:val="00363EA8"/>
    <w:rsid w:val="0036479B"/>
    <w:rsid w:val="00364DED"/>
    <w:rsid w:val="00365CD8"/>
    <w:rsid w:val="0037042E"/>
    <w:rsid w:val="00371B4A"/>
    <w:rsid w:val="00372619"/>
    <w:rsid w:val="00375CFC"/>
    <w:rsid w:val="00376869"/>
    <w:rsid w:val="00377661"/>
    <w:rsid w:val="0038020A"/>
    <w:rsid w:val="003811F3"/>
    <w:rsid w:val="003832DA"/>
    <w:rsid w:val="003862B2"/>
    <w:rsid w:val="003870A1"/>
    <w:rsid w:val="0039067B"/>
    <w:rsid w:val="00390FD3"/>
    <w:rsid w:val="00392914"/>
    <w:rsid w:val="003935EB"/>
    <w:rsid w:val="00395211"/>
    <w:rsid w:val="003A2212"/>
    <w:rsid w:val="003A374F"/>
    <w:rsid w:val="003A4417"/>
    <w:rsid w:val="003A6E40"/>
    <w:rsid w:val="003A7BAD"/>
    <w:rsid w:val="003B188A"/>
    <w:rsid w:val="003B4AAF"/>
    <w:rsid w:val="003B5F3A"/>
    <w:rsid w:val="003B6FD3"/>
    <w:rsid w:val="003C365B"/>
    <w:rsid w:val="003C4D29"/>
    <w:rsid w:val="003D51B2"/>
    <w:rsid w:val="003D6210"/>
    <w:rsid w:val="003D7357"/>
    <w:rsid w:val="003D76FA"/>
    <w:rsid w:val="003E161F"/>
    <w:rsid w:val="003E2729"/>
    <w:rsid w:val="003E3077"/>
    <w:rsid w:val="003E3CDE"/>
    <w:rsid w:val="003E3E66"/>
    <w:rsid w:val="003E4EE7"/>
    <w:rsid w:val="003E6CCF"/>
    <w:rsid w:val="003F0700"/>
    <w:rsid w:val="003F10E6"/>
    <w:rsid w:val="003F5732"/>
    <w:rsid w:val="003F6AF9"/>
    <w:rsid w:val="00400435"/>
    <w:rsid w:val="00400BA9"/>
    <w:rsid w:val="00401623"/>
    <w:rsid w:val="004034AD"/>
    <w:rsid w:val="004051DF"/>
    <w:rsid w:val="004217B8"/>
    <w:rsid w:val="004258D0"/>
    <w:rsid w:val="00430B91"/>
    <w:rsid w:val="00431114"/>
    <w:rsid w:val="00432D18"/>
    <w:rsid w:val="00442AC9"/>
    <w:rsid w:val="00442C37"/>
    <w:rsid w:val="0044309D"/>
    <w:rsid w:val="0044798F"/>
    <w:rsid w:val="00447CA4"/>
    <w:rsid w:val="0045125E"/>
    <w:rsid w:val="0045162A"/>
    <w:rsid w:val="00452610"/>
    <w:rsid w:val="00457176"/>
    <w:rsid w:val="00457FF6"/>
    <w:rsid w:val="00460453"/>
    <w:rsid w:val="0046071A"/>
    <w:rsid w:val="004619E3"/>
    <w:rsid w:val="00462A82"/>
    <w:rsid w:val="00463554"/>
    <w:rsid w:val="004641FE"/>
    <w:rsid w:val="004650BC"/>
    <w:rsid w:val="004670E0"/>
    <w:rsid w:val="0047033D"/>
    <w:rsid w:val="00471346"/>
    <w:rsid w:val="00471DB2"/>
    <w:rsid w:val="004726D4"/>
    <w:rsid w:val="00473D2E"/>
    <w:rsid w:val="00475AB3"/>
    <w:rsid w:val="00476698"/>
    <w:rsid w:val="00484CC7"/>
    <w:rsid w:val="00485D49"/>
    <w:rsid w:val="00486260"/>
    <w:rsid w:val="0048792F"/>
    <w:rsid w:val="004905CD"/>
    <w:rsid w:val="004A04BA"/>
    <w:rsid w:val="004A40B1"/>
    <w:rsid w:val="004A492D"/>
    <w:rsid w:val="004A756F"/>
    <w:rsid w:val="004B062F"/>
    <w:rsid w:val="004B0E80"/>
    <w:rsid w:val="004B2849"/>
    <w:rsid w:val="004B474E"/>
    <w:rsid w:val="004B5D83"/>
    <w:rsid w:val="004B6A84"/>
    <w:rsid w:val="004C03A3"/>
    <w:rsid w:val="004C6C26"/>
    <w:rsid w:val="004C71C1"/>
    <w:rsid w:val="004C79D6"/>
    <w:rsid w:val="004D1632"/>
    <w:rsid w:val="004D16F6"/>
    <w:rsid w:val="004D22CC"/>
    <w:rsid w:val="004D4D09"/>
    <w:rsid w:val="004D798E"/>
    <w:rsid w:val="004E1F53"/>
    <w:rsid w:val="004E4D5D"/>
    <w:rsid w:val="004E64E9"/>
    <w:rsid w:val="004E7C05"/>
    <w:rsid w:val="004F012F"/>
    <w:rsid w:val="004F1506"/>
    <w:rsid w:val="004F1AEB"/>
    <w:rsid w:val="004F6555"/>
    <w:rsid w:val="0050351D"/>
    <w:rsid w:val="00504818"/>
    <w:rsid w:val="00505CB7"/>
    <w:rsid w:val="00507B72"/>
    <w:rsid w:val="00511629"/>
    <w:rsid w:val="00512E1F"/>
    <w:rsid w:val="005137C6"/>
    <w:rsid w:val="00516F27"/>
    <w:rsid w:val="00520064"/>
    <w:rsid w:val="005246B5"/>
    <w:rsid w:val="00525246"/>
    <w:rsid w:val="00525B2B"/>
    <w:rsid w:val="00533A25"/>
    <w:rsid w:val="0053532C"/>
    <w:rsid w:val="0053588C"/>
    <w:rsid w:val="00537A42"/>
    <w:rsid w:val="0054159D"/>
    <w:rsid w:val="00543721"/>
    <w:rsid w:val="0054431D"/>
    <w:rsid w:val="0054451C"/>
    <w:rsid w:val="00547BD0"/>
    <w:rsid w:val="00550AB6"/>
    <w:rsid w:val="00550DE3"/>
    <w:rsid w:val="00557294"/>
    <w:rsid w:val="0056147C"/>
    <w:rsid w:val="00564349"/>
    <w:rsid w:val="00566A41"/>
    <w:rsid w:val="00573524"/>
    <w:rsid w:val="005771C1"/>
    <w:rsid w:val="005816D6"/>
    <w:rsid w:val="00581A96"/>
    <w:rsid w:val="0058457F"/>
    <w:rsid w:val="005865D1"/>
    <w:rsid w:val="0059172E"/>
    <w:rsid w:val="00592012"/>
    <w:rsid w:val="00593904"/>
    <w:rsid w:val="0059595A"/>
    <w:rsid w:val="00595C07"/>
    <w:rsid w:val="00596C7B"/>
    <w:rsid w:val="00597641"/>
    <w:rsid w:val="005A1CFA"/>
    <w:rsid w:val="005A1E31"/>
    <w:rsid w:val="005A23FB"/>
    <w:rsid w:val="005A24F1"/>
    <w:rsid w:val="005A2733"/>
    <w:rsid w:val="005A30C5"/>
    <w:rsid w:val="005A3768"/>
    <w:rsid w:val="005A3908"/>
    <w:rsid w:val="005A7170"/>
    <w:rsid w:val="005A7542"/>
    <w:rsid w:val="005A7BEF"/>
    <w:rsid w:val="005B11C3"/>
    <w:rsid w:val="005B127E"/>
    <w:rsid w:val="005B187E"/>
    <w:rsid w:val="005B44B2"/>
    <w:rsid w:val="005B6C1B"/>
    <w:rsid w:val="005C0AB1"/>
    <w:rsid w:val="005C2150"/>
    <w:rsid w:val="005C4870"/>
    <w:rsid w:val="005C6A6A"/>
    <w:rsid w:val="005D031B"/>
    <w:rsid w:val="005D19A4"/>
    <w:rsid w:val="005D2095"/>
    <w:rsid w:val="005D232C"/>
    <w:rsid w:val="005E354B"/>
    <w:rsid w:val="005E59B9"/>
    <w:rsid w:val="005E6435"/>
    <w:rsid w:val="005E68AF"/>
    <w:rsid w:val="005E6E91"/>
    <w:rsid w:val="005F5C3A"/>
    <w:rsid w:val="00601D52"/>
    <w:rsid w:val="006020FC"/>
    <w:rsid w:val="006027F8"/>
    <w:rsid w:val="00606305"/>
    <w:rsid w:val="00612747"/>
    <w:rsid w:val="0061378F"/>
    <w:rsid w:val="0061575B"/>
    <w:rsid w:val="00615FD2"/>
    <w:rsid w:val="00617F32"/>
    <w:rsid w:val="00622203"/>
    <w:rsid w:val="00624141"/>
    <w:rsid w:val="00624C71"/>
    <w:rsid w:val="00624CF7"/>
    <w:rsid w:val="0062515F"/>
    <w:rsid w:val="006311F9"/>
    <w:rsid w:val="006315FA"/>
    <w:rsid w:val="0063325E"/>
    <w:rsid w:val="00636FB0"/>
    <w:rsid w:val="00640B83"/>
    <w:rsid w:val="00642773"/>
    <w:rsid w:val="00643748"/>
    <w:rsid w:val="00643B35"/>
    <w:rsid w:val="00643E54"/>
    <w:rsid w:val="006526E8"/>
    <w:rsid w:val="00656677"/>
    <w:rsid w:val="0065789C"/>
    <w:rsid w:val="00657B85"/>
    <w:rsid w:val="006623A6"/>
    <w:rsid w:val="006735C9"/>
    <w:rsid w:val="00673689"/>
    <w:rsid w:val="006742AD"/>
    <w:rsid w:val="00674EEA"/>
    <w:rsid w:val="006750AD"/>
    <w:rsid w:val="00675B26"/>
    <w:rsid w:val="00676BE6"/>
    <w:rsid w:val="00676E1B"/>
    <w:rsid w:val="0068038C"/>
    <w:rsid w:val="00682641"/>
    <w:rsid w:val="00682812"/>
    <w:rsid w:val="00686103"/>
    <w:rsid w:val="00692357"/>
    <w:rsid w:val="00696033"/>
    <w:rsid w:val="006968B0"/>
    <w:rsid w:val="00696CD2"/>
    <w:rsid w:val="00696D7C"/>
    <w:rsid w:val="00697440"/>
    <w:rsid w:val="006A376A"/>
    <w:rsid w:val="006A4530"/>
    <w:rsid w:val="006B0133"/>
    <w:rsid w:val="006B06A6"/>
    <w:rsid w:val="006B3B87"/>
    <w:rsid w:val="006C04C0"/>
    <w:rsid w:val="006C4CC2"/>
    <w:rsid w:val="006D1091"/>
    <w:rsid w:val="006D2864"/>
    <w:rsid w:val="006D29EF"/>
    <w:rsid w:val="006D351F"/>
    <w:rsid w:val="006D5944"/>
    <w:rsid w:val="006D643F"/>
    <w:rsid w:val="006E2BDC"/>
    <w:rsid w:val="006E2C3D"/>
    <w:rsid w:val="006E5DEC"/>
    <w:rsid w:val="006E678E"/>
    <w:rsid w:val="006E7A15"/>
    <w:rsid w:val="006F5DEE"/>
    <w:rsid w:val="006F71DC"/>
    <w:rsid w:val="006F7FAD"/>
    <w:rsid w:val="0070179B"/>
    <w:rsid w:val="0070256C"/>
    <w:rsid w:val="00703B41"/>
    <w:rsid w:val="007051B3"/>
    <w:rsid w:val="00707980"/>
    <w:rsid w:val="00707DC7"/>
    <w:rsid w:val="00717DBF"/>
    <w:rsid w:val="00723AB7"/>
    <w:rsid w:val="00723BB4"/>
    <w:rsid w:val="00723EF7"/>
    <w:rsid w:val="007246BF"/>
    <w:rsid w:val="007279DC"/>
    <w:rsid w:val="007325D5"/>
    <w:rsid w:val="00732D2F"/>
    <w:rsid w:val="00735CFD"/>
    <w:rsid w:val="00740337"/>
    <w:rsid w:val="00741106"/>
    <w:rsid w:val="0074196E"/>
    <w:rsid w:val="00743DB7"/>
    <w:rsid w:val="00745B34"/>
    <w:rsid w:val="0074791C"/>
    <w:rsid w:val="00747AC7"/>
    <w:rsid w:val="00747B5C"/>
    <w:rsid w:val="00750C67"/>
    <w:rsid w:val="0075167E"/>
    <w:rsid w:val="007516C9"/>
    <w:rsid w:val="00751864"/>
    <w:rsid w:val="0075388F"/>
    <w:rsid w:val="00757E65"/>
    <w:rsid w:val="00762796"/>
    <w:rsid w:val="007639BB"/>
    <w:rsid w:val="0076551D"/>
    <w:rsid w:val="00770395"/>
    <w:rsid w:val="007726E2"/>
    <w:rsid w:val="00772825"/>
    <w:rsid w:val="0077331B"/>
    <w:rsid w:val="0077471D"/>
    <w:rsid w:val="0077617C"/>
    <w:rsid w:val="007776F4"/>
    <w:rsid w:val="00780A91"/>
    <w:rsid w:val="00780CAE"/>
    <w:rsid w:val="00782D93"/>
    <w:rsid w:val="00783991"/>
    <w:rsid w:val="00783C75"/>
    <w:rsid w:val="007867E9"/>
    <w:rsid w:val="00792285"/>
    <w:rsid w:val="00793C44"/>
    <w:rsid w:val="00793DED"/>
    <w:rsid w:val="00793E9C"/>
    <w:rsid w:val="007944C8"/>
    <w:rsid w:val="007953AC"/>
    <w:rsid w:val="007966D3"/>
    <w:rsid w:val="00796822"/>
    <w:rsid w:val="007A2FB6"/>
    <w:rsid w:val="007A3996"/>
    <w:rsid w:val="007A5175"/>
    <w:rsid w:val="007A5F52"/>
    <w:rsid w:val="007A641B"/>
    <w:rsid w:val="007A740F"/>
    <w:rsid w:val="007B30E2"/>
    <w:rsid w:val="007B46F8"/>
    <w:rsid w:val="007B519D"/>
    <w:rsid w:val="007C1679"/>
    <w:rsid w:val="007C2C2C"/>
    <w:rsid w:val="007C420D"/>
    <w:rsid w:val="007C5AD8"/>
    <w:rsid w:val="007C6C22"/>
    <w:rsid w:val="007D062C"/>
    <w:rsid w:val="007D0E7B"/>
    <w:rsid w:val="007D1C90"/>
    <w:rsid w:val="007D2B42"/>
    <w:rsid w:val="007D473A"/>
    <w:rsid w:val="007D7C95"/>
    <w:rsid w:val="007E0CB5"/>
    <w:rsid w:val="007E24C5"/>
    <w:rsid w:val="007E7560"/>
    <w:rsid w:val="007F336A"/>
    <w:rsid w:val="007F676F"/>
    <w:rsid w:val="008002C7"/>
    <w:rsid w:val="008007D8"/>
    <w:rsid w:val="00801DB6"/>
    <w:rsid w:val="00802BF0"/>
    <w:rsid w:val="00802CC2"/>
    <w:rsid w:val="008034D4"/>
    <w:rsid w:val="008036F2"/>
    <w:rsid w:val="00806D33"/>
    <w:rsid w:val="00807E74"/>
    <w:rsid w:val="00807F9D"/>
    <w:rsid w:val="008124A4"/>
    <w:rsid w:val="0081253F"/>
    <w:rsid w:val="00815901"/>
    <w:rsid w:val="00815E91"/>
    <w:rsid w:val="00816AB6"/>
    <w:rsid w:val="00817B15"/>
    <w:rsid w:val="00820606"/>
    <w:rsid w:val="00824453"/>
    <w:rsid w:val="00824F92"/>
    <w:rsid w:val="00825B80"/>
    <w:rsid w:val="008273B2"/>
    <w:rsid w:val="00831BE9"/>
    <w:rsid w:val="00832632"/>
    <w:rsid w:val="0083390A"/>
    <w:rsid w:val="00836646"/>
    <w:rsid w:val="00837AB7"/>
    <w:rsid w:val="00837F89"/>
    <w:rsid w:val="008405BE"/>
    <w:rsid w:val="00841B2C"/>
    <w:rsid w:val="00841BAB"/>
    <w:rsid w:val="0084289A"/>
    <w:rsid w:val="00844184"/>
    <w:rsid w:val="00846105"/>
    <w:rsid w:val="00850CE0"/>
    <w:rsid w:val="008528DE"/>
    <w:rsid w:val="008532C1"/>
    <w:rsid w:val="00853C08"/>
    <w:rsid w:val="00854400"/>
    <w:rsid w:val="00855084"/>
    <w:rsid w:val="00856E28"/>
    <w:rsid w:val="00857ED0"/>
    <w:rsid w:val="00865F2A"/>
    <w:rsid w:val="00867D5E"/>
    <w:rsid w:val="00867E57"/>
    <w:rsid w:val="008705CA"/>
    <w:rsid w:val="0087062E"/>
    <w:rsid w:val="00870E64"/>
    <w:rsid w:val="008728E5"/>
    <w:rsid w:val="0087431B"/>
    <w:rsid w:val="008751F6"/>
    <w:rsid w:val="00880F86"/>
    <w:rsid w:val="00882B3C"/>
    <w:rsid w:val="00886946"/>
    <w:rsid w:val="00887862"/>
    <w:rsid w:val="0089258E"/>
    <w:rsid w:val="00894CD6"/>
    <w:rsid w:val="0089539B"/>
    <w:rsid w:val="008A3757"/>
    <w:rsid w:val="008A49C7"/>
    <w:rsid w:val="008A66BB"/>
    <w:rsid w:val="008B0C1B"/>
    <w:rsid w:val="008B6E57"/>
    <w:rsid w:val="008C1DC8"/>
    <w:rsid w:val="008C35D6"/>
    <w:rsid w:val="008C6DD4"/>
    <w:rsid w:val="008C7E9C"/>
    <w:rsid w:val="008D00C1"/>
    <w:rsid w:val="008D493A"/>
    <w:rsid w:val="008D664F"/>
    <w:rsid w:val="008E00AB"/>
    <w:rsid w:val="008E40C3"/>
    <w:rsid w:val="008E49A5"/>
    <w:rsid w:val="008E6123"/>
    <w:rsid w:val="008F19A6"/>
    <w:rsid w:val="008F34BB"/>
    <w:rsid w:val="008F3E32"/>
    <w:rsid w:val="008F6064"/>
    <w:rsid w:val="008F6509"/>
    <w:rsid w:val="008F6A45"/>
    <w:rsid w:val="008F6C41"/>
    <w:rsid w:val="0090387F"/>
    <w:rsid w:val="00906EB1"/>
    <w:rsid w:val="0090717E"/>
    <w:rsid w:val="00907ADD"/>
    <w:rsid w:val="009145F2"/>
    <w:rsid w:val="009176C0"/>
    <w:rsid w:val="00920D48"/>
    <w:rsid w:val="009231FA"/>
    <w:rsid w:val="009233BE"/>
    <w:rsid w:val="00923BF4"/>
    <w:rsid w:val="0092486D"/>
    <w:rsid w:val="00930E62"/>
    <w:rsid w:val="00931688"/>
    <w:rsid w:val="00933C21"/>
    <w:rsid w:val="009353D4"/>
    <w:rsid w:val="00935599"/>
    <w:rsid w:val="0093614E"/>
    <w:rsid w:val="00940332"/>
    <w:rsid w:val="009417E5"/>
    <w:rsid w:val="0094311E"/>
    <w:rsid w:val="0094456B"/>
    <w:rsid w:val="0094633E"/>
    <w:rsid w:val="00946E52"/>
    <w:rsid w:val="00953645"/>
    <w:rsid w:val="009553FE"/>
    <w:rsid w:val="009607C0"/>
    <w:rsid w:val="00961831"/>
    <w:rsid w:val="00962AC0"/>
    <w:rsid w:val="00962E36"/>
    <w:rsid w:val="00965361"/>
    <w:rsid w:val="00966AEF"/>
    <w:rsid w:val="009759C4"/>
    <w:rsid w:val="0097646A"/>
    <w:rsid w:val="00976A95"/>
    <w:rsid w:val="009770F6"/>
    <w:rsid w:val="00980FD9"/>
    <w:rsid w:val="0098352A"/>
    <w:rsid w:val="00984A73"/>
    <w:rsid w:val="009850DE"/>
    <w:rsid w:val="009863FF"/>
    <w:rsid w:val="00990262"/>
    <w:rsid w:val="00991C26"/>
    <w:rsid w:val="009939E1"/>
    <w:rsid w:val="00993BA0"/>
    <w:rsid w:val="00997E02"/>
    <w:rsid w:val="00997F8D"/>
    <w:rsid w:val="009A12A5"/>
    <w:rsid w:val="009A245D"/>
    <w:rsid w:val="009A3477"/>
    <w:rsid w:val="009B0115"/>
    <w:rsid w:val="009B12D8"/>
    <w:rsid w:val="009B1AFA"/>
    <w:rsid w:val="009B4FFC"/>
    <w:rsid w:val="009B7023"/>
    <w:rsid w:val="009C0B56"/>
    <w:rsid w:val="009C0D9C"/>
    <w:rsid w:val="009C2C63"/>
    <w:rsid w:val="009C4BE1"/>
    <w:rsid w:val="009C4EC1"/>
    <w:rsid w:val="009D1FC9"/>
    <w:rsid w:val="009D2607"/>
    <w:rsid w:val="009D48E2"/>
    <w:rsid w:val="009D50ED"/>
    <w:rsid w:val="009D5827"/>
    <w:rsid w:val="009D6F60"/>
    <w:rsid w:val="009E4A08"/>
    <w:rsid w:val="009E578C"/>
    <w:rsid w:val="009E749C"/>
    <w:rsid w:val="009F0A15"/>
    <w:rsid w:val="009F48D4"/>
    <w:rsid w:val="00A10AE7"/>
    <w:rsid w:val="00A112CD"/>
    <w:rsid w:val="00A147AA"/>
    <w:rsid w:val="00A153CA"/>
    <w:rsid w:val="00A171B5"/>
    <w:rsid w:val="00A220AE"/>
    <w:rsid w:val="00A224F7"/>
    <w:rsid w:val="00A22DD9"/>
    <w:rsid w:val="00A22EC2"/>
    <w:rsid w:val="00A23B4F"/>
    <w:rsid w:val="00A248A2"/>
    <w:rsid w:val="00A25679"/>
    <w:rsid w:val="00A27592"/>
    <w:rsid w:val="00A31815"/>
    <w:rsid w:val="00A35973"/>
    <w:rsid w:val="00A35CD3"/>
    <w:rsid w:val="00A36272"/>
    <w:rsid w:val="00A40A29"/>
    <w:rsid w:val="00A414A5"/>
    <w:rsid w:val="00A417CA"/>
    <w:rsid w:val="00A41E61"/>
    <w:rsid w:val="00A4217E"/>
    <w:rsid w:val="00A42964"/>
    <w:rsid w:val="00A45A91"/>
    <w:rsid w:val="00A45E82"/>
    <w:rsid w:val="00A46DB2"/>
    <w:rsid w:val="00A46ED2"/>
    <w:rsid w:val="00A50E5C"/>
    <w:rsid w:val="00A51B44"/>
    <w:rsid w:val="00A53317"/>
    <w:rsid w:val="00A53350"/>
    <w:rsid w:val="00A55FDF"/>
    <w:rsid w:val="00A577E9"/>
    <w:rsid w:val="00A700B3"/>
    <w:rsid w:val="00A71CBC"/>
    <w:rsid w:val="00A731EC"/>
    <w:rsid w:val="00A749DC"/>
    <w:rsid w:val="00A76A75"/>
    <w:rsid w:val="00A82051"/>
    <w:rsid w:val="00A91E68"/>
    <w:rsid w:val="00A92E87"/>
    <w:rsid w:val="00A949A1"/>
    <w:rsid w:val="00A951CD"/>
    <w:rsid w:val="00A9522E"/>
    <w:rsid w:val="00A97705"/>
    <w:rsid w:val="00A9782D"/>
    <w:rsid w:val="00A97F69"/>
    <w:rsid w:val="00AA2715"/>
    <w:rsid w:val="00AA271D"/>
    <w:rsid w:val="00AA3818"/>
    <w:rsid w:val="00AB0812"/>
    <w:rsid w:val="00AB0FB8"/>
    <w:rsid w:val="00AB2F49"/>
    <w:rsid w:val="00AB5A87"/>
    <w:rsid w:val="00AC002D"/>
    <w:rsid w:val="00AC1D45"/>
    <w:rsid w:val="00AC2DC9"/>
    <w:rsid w:val="00AC394E"/>
    <w:rsid w:val="00AC7CCE"/>
    <w:rsid w:val="00AC7D4F"/>
    <w:rsid w:val="00AD2883"/>
    <w:rsid w:val="00AD63FB"/>
    <w:rsid w:val="00AD6A98"/>
    <w:rsid w:val="00AD6E19"/>
    <w:rsid w:val="00AE5319"/>
    <w:rsid w:val="00AE5CF1"/>
    <w:rsid w:val="00AE77F3"/>
    <w:rsid w:val="00AF0835"/>
    <w:rsid w:val="00AF29F7"/>
    <w:rsid w:val="00B0253A"/>
    <w:rsid w:val="00B03A1C"/>
    <w:rsid w:val="00B04C64"/>
    <w:rsid w:val="00B05BB4"/>
    <w:rsid w:val="00B06FFD"/>
    <w:rsid w:val="00B128B6"/>
    <w:rsid w:val="00B17FD4"/>
    <w:rsid w:val="00B21823"/>
    <w:rsid w:val="00B2212D"/>
    <w:rsid w:val="00B22F2C"/>
    <w:rsid w:val="00B24B38"/>
    <w:rsid w:val="00B337AB"/>
    <w:rsid w:val="00B3605A"/>
    <w:rsid w:val="00B40032"/>
    <w:rsid w:val="00B40AA9"/>
    <w:rsid w:val="00B42577"/>
    <w:rsid w:val="00B44086"/>
    <w:rsid w:val="00B4573B"/>
    <w:rsid w:val="00B51039"/>
    <w:rsid w:val="00B511CF"/>
    <w:rsid w:val="00B5184E"/>
    <w:rsid w:val="00B520D3"/>
    <w:rsid w:val="00B5248C"/>
    <w:rsid w:val="00B5472D"/>
    <w:rsid w:val="00B56538"/>
    <w:rsid w:val="00B57A80"/>
    <w:rsid w:val="00B57C14"/>
    <w:rsid w:val="00B601EF"/>
    <w:rsid w:val="00B63B46"/>
    <w:rsid w:val="00B6410C"/>
    <w:rsid w:val="00B64620"/>
    <w:rsid w:val="00B678C4"/>
    <w:rsid w:val="00B67B3E"/>
    <w:rsid w:val="00B711BE"/>
    <w:rsid w:val="00B719CF"/>
    <w:rsid w:val="00B75B55"/>
    <w:rsid w:val="00B830BE"/>
    <w:rsid w:val="00B8423C"/>
    <w:rsid w:val="00B8474F"/>
    <w:rsid w:val="00B86525"/>
    <w:rsid w:val="00B91332"/>
    <w:rsid w:val="00B91B29"/>
    <w:rsid w:val="00B92088"/>
    <w:rsid w:val="00B92D6B"/>
    <w:rsid w:val="00B9487F"/>
    <w:rsid w:val="00B95605"/>
    <w:rsid w:val="00B9727F"/>
    <w:rsid w:val="00B97D9F"/>
    <w:rsid w:val="00BA33B0"/>
    <w:rsid w:val="00BA7B5F"/>
    <w:rsid w:val="00BB153B"/>
    <w:rsid w:val="00BB53F3"/>
    <w:rsid w:val="00BB6C54"/>
    <w:rsid w:val="00BC03DF"/>
    <w:rsid w:val="00BC0604"/>
    <w:rsid w:val="00BC4A63"/>
    <w:rsid w:val="00BC51C8"/>
    <w:rsid w:val="00BC5A77"/>
    <w:rsid w:val="00BC6235"/>
    <w:rsid w:val="00BC7335"/>
    <w:rsid w:val="00BD019D"/>
    <w:rsid w:val="00BD2318"/>
    <w:rsid w:val="00BD2CCB"/>
    <w:rsid w:val="00BD2DA0"/>
    <w:rsid w:val="00BD320B"/>
    <w:rsid w:val="00BD3D4A"/>
    <w:rsid w:val="00BD45F5"/>
    <w:rsid w:val="00BD6847"/>
    <w:rsid w:val="00BE3948"/>
    <w:rsid w:val="00BE71F0"/>
    <w:rsid w:val="00BE7515"/>
    <w:rsid w:val="00BF0EEE"/>
    <w:rsid w:val="00BF1100"/>
    <w:rsid w:val="00BF1182"/>
    <w:rsid w:val="00BF13BA"/>
    <w:rsid w:val="00BF1B62"/>
    <w:rsid w:val="00BF3E50"/>
    <w:rsid w:val="00BF3FA3"/>
    <w:rsid w:val="00BF4203"/>
    <w:rsid w:val="00BF4C14"/>
    <w:rsid w:val="00BF52E5"/>
    <w:rsid w:val="00BF545D"/>
    <w:rsid w:val="00C03C0B"/>
    <w:rsid w:val="00C07264"/>
    <w:rsid w:val="00C075BA"/>
    <w:rsid w:val="00C12B6D"/>
    <w:rsid w:val="00C179BF"/>
    <w:rsid w:val="00C2062A"/>
    <w:rsid w:val="00C21B87"/>
    <w:rsid w:val="00C23A3B"/>
    <w:rsid w:val="00C2404E"/>
    <w:rsid w:val="00C24E75"/>
    <w:rsid w:val="00C2559D"/>
    <w:rsid w:val="00C26B29"/>
    <w:rsid w:val="00C32402"/>
    <w:rsid w:val="00C32EAF"/>
    <w:rsid w:val="00C3472E"/>
    <w:rsid w:val="00C35C22"/>
    <w:rsid w:val="00C368E0"/>
    <w:rsid w:val="00C41846"/>
    <w:rsid w:val="00C4399D"/>
    <w:rsid w:val="00C44152"/>
    <w:rsid w:val="00C45E6B"/>
    <w:rsid w:val="00C5153E"/>
    <w:rsid w:val="00C52495"/>
    <w:rsid w:val="00C565A3"/>
    <w:rsid w:val="00C615DF"/>
    <w:rsid w:val="00C61BE2"/>
    <w:rsid w:val="00C6295C"/>
    <w:rsid w:val="00C70663"/>
    <w:rsid w:val="00C73F33"/>
    <w:rsid w:val="00C759FD"/>
    <w:rsid w:val="00C75C9C"/>
    <w:rsid w:val="00C76EF9"/>
    <w:rsid w:val="00C823DE"/>
    <w:rsid w:val="00C82F29"/>
    <w:rsid w:val="00C83641"/>
    <w:rsid w:val="00C850C4"/>
    <w:rsid w:val="00C85158"/>
    <w:rsid w:val="00C852DC"/>
    <w:rsid w:val="00C854EA"/>
    <w:rsid w:val="00C940E8"/>
    <w:rsid w:val="00C94FF1"/>
    <w:rsid w:val="00CA01A6"/>
    <w:rsid w:val="00CA339B"/>
    <w:rsid w:val="00CA6110"/>
    <w:rsid w:val="00CA7248"/>
    <w:rsid w:val="00CA76F7"/>
    <w:rsid w:val="00CB06B6"/>
    <w:rsid w:val="00CB10B9"/>
    <w:rsid w:val="00CB29B0"/>
    <w:rsid w:val="00CB6908"/>
    <w:rsid w:val="00CB7C32"/>
    <w:rsid w:val="00CB7DAA"/>
    <w:rsid w:val="00CC0E4B"/>
    <w:rsid w:val="00CC17C4"/>
    <w:rsid w:val="00CC3EED"/>
    <w:rsid w:val="00CC4A8F"/>
    <w:rsid w:val="00CD2EFF"/>
    <w:rsid w:val="00CD6F72"/>
    <w:rsid w:val="00CE2564"/>
    <w:rsid w:val="00CE3685"/>
    <w:rsid w:val="00CE373E"/>
    <w:rsid w:val="00CE3D81"/>
    <w:rsid w:val="00CE42F6"/>
    <w:rsid w:val="00CE446F"/>
    <w:rsid w:val="00CE4766"/>
    <w:rsid w:val="00CE5A11"/>
    <w:rsid w:val="00CE61F6"/>
    <w:rsid w:val="00CE72CC"/>
    <w:rsid w:val="00CF339E"/>
    <w:rsid w:val="00D0092C"/>
    <w:rsid w:val="00D03131"/>
    <w:rsid w:val="00D043A5"/>
    <w:rsid w:val="00D11308"/>
    <w:rsid w:val="00D153CA"/>
    <w:rsid w:val="00D15774"/>
    <w:rsid w:val="00D17B12"/>
    <w:rsid w:val="00D202A0"/>
    <w:rsid w:val="00D2031B"/>
    <w:rsid w:val="00D21096"/>
    <w:rsid w:val="00D25810"/>
    <w:rsid w:val="00D301DB"/>
    <w:rsid w:val="00D35769"/>
    <w:rsid w:val="00D3669C"/>
    <w:rsid w:val="00D41091"/>
    <w:rsid w:val="00D42562"/>
    <w:rsid w:val="00D45FD1"/>
    <w:rsid w:val="00D466ED"/>
    <w:rsid w:val="00D47F7A"/>
    <w:rsid w:val="00D50620"/>
    <w:rsid w:val="00D50D3B"/>
    <w:rsid w:val="00D51C6B"/>
    <w:rsid w:val="00D600E8"/>
    <w:rsid w:val="00D6032D"/>
    <w:rsid w:val="00D60E5C"/>
    <w:rsid w:val="00D638E2"/>
    <w:rsid w:val="00D700CC"/>
    <w:rsid w:val="00D722D5"/>
    <w:rsid w:val="00D72B90"/>
    <w:rsid w:val="00D74814"/>
    <w:rsid w:val="00D749A4"/>
    <w:rsid w:val="00D76A19"/>
    <w:rsid w:val="00D81756"/>
    <w:rsid w:val="00D819E5"/>
    <w:rsid w:val="00D825E5"/>
    <w:rsid w:val="00D83119"/>
    <w:rsid w:val="00D843C4"/>
    <w:rsid w:val="00D852C1"/>
    <w:rsid w:val="00D86B0D"/>
    <w:rsid w:val="00D947F5"/>
    <w:rsid w:val="00D966E3"/>
    <w:rsid w:val="00D97132"/>
    <w:rsid w:val="00D9735E"/>
    <w:rsid w:val="00DA1981"/>
    <w:rsid w:val="00DA25D5"/>
    <w:rsid w:val="00DA53B9"/>
    <w:rsid w:val="00DA6C72"/>
    <w:rsid w:val="00DA7A89"/>
    <w:rsid w:val="00DB110E"/>
    <w:rsid w:val="00DB2666"/>
    <w:rsid w:val="00DB518A"/>
    <w:rsid w:val="00DB693B"/>
    <w:rsid w:val="00DC536F"/>
    <w:rsid w:val="00DC5A50"/>
    <w:rsid w:val="00DC6340"/>
    <w:rsid w:val="00DC6D3E"/>
    <w:rsid w:val="00DC739A"/>
    <w:rsid w:val="00DD0D2B"/>
    <w:rsid w:val="00DD17FF"/>
    <w:rsid w:val="00DE1322"/>
    <w:rsid w:val="00DE1606"/>
    <w:rsid w:val="00DE653B"/>
    <w:rsid w:val="00DE70C0"/>
    <w:rsid w:val="00DE7C13"/>
    <w:rsid w:val="00DF049F"/>
    <w:rsid w:val="00DF3230"/>
    <w:rsid w:val="00DF3D7E"/>
    <w:rsid w:val="00DF406D"/>
    <w:rsid w:val="00DF545B"/>
    <w:rsid w:val="00E005A4"/>
    <w:rsid w:val="00E020F7"/>
    <w:rsid w:val="00E037A2"/>
    <w:rsid w:val="00E04D1F"/>
    <w:rsid w:val="00E05B11"/>
    <w:rsid w:val="00E0735D"/>
    <w:rsid w:val="00E076F9"/>
    <w:rsid w:val="00E13FF7"/>
    <w:rsid w:val="00E24792"/>
    <w:rsid w:val="00E2483C"/>
    <w:rsid w:val="00E30341"/>
    <w:rsid w:val="00E33C8D"/>
    <w:rsid w:val="00E35EE0"/>
    <w:rsid w:val="00E43127"/>
    <w:rsid w:val="00E444E4"/>
    <w:rsid w:val="00E5039E"/>
    <w:rsid w:val="00E51EAC"/>
    <w:rsid w:val="00E53308"/>
    <w:rsid w:val="00E53559"/>
    <w:rsid w:val="00E542F7"/>
    <w:rsid w:val="00E547C5"/>
    <w:rsid w:val="00E549DA"/>
    <w:rsid w:val="00E56ECC"/>
    <w:rsid w:val="00E6080B"/>
    <w:rsid w:val="00E60B4B"/>
    <w:rsid w:val="00E623F9"/>
    <w:rsid w:val="00E626D2"/>
    <w:rsid w:val="00E638AB"/>
    <w:rsid w:val="00E63E46"/>
    <w:rsid w:val="00E65D26"/>
    <w:rsid w:val="00E65F89"/>
    <w:rsid w:val="00E67EC0"/>
    <w:rsid w:val="00E70206"/>
    <w:rsid w:val="00E7043D"/>
    <w:rsid w:val="00E721D5"/>
    <w:rsid w:val="00E7258F"/>
    <w:rsid w:val="00E726AD"/>
    <w:rsid w:val="00E72EEF"/>
    <w:rsid w:val="00E779F5"/>
    <w:rsid w:val="00E805E7"/>
    <w:rsid w:val="00E81D66"/>
    <w:rsid w:val="00E833B1"/>
    <w:rsid w:val="00E92E5A"/>
    <w:rsid w:val="00E94916"/>
    <w:rsid w:val="00E94C6B"/>
    <w:rsid w:val="00E965F8"/>
    <w:rsid w:val="00EA0720"/>
    <w:rsid w:val="00EA2CDC"/>
    <w:rsid w:val="00EA3CD2"/>
    <w:rsid w:val="00EA4729"/>
    <w:rsid w:val="00EA5702"/>
    <w:rsid w:val="00EA7EED"/>
    <w:rsid w:val="00EB3B15"/>
    <w:rsid w:val="00EB406C"/>
    <w:rsid w:val="00EB4412"/>
    <w:rsid w:val="00EB5CD5"/>
    <w:rsid w:val="00EB6CE0"/>
    <w:rsid w:val="00EB741C"/>
    <w:rsid w:val="00EB7433"/>
    <w:rsid w:val="00EC3C62"/>
    <w:rsid w:val="00EC5362"/>
    <w:rsid w:val="00EC62EF"/>
    <w:rsid w:val="00ED4FF2"/>
    <w:rsid w:val="00ED51CB"/>
    <w:rsid w:val="00ED6F1E"/>
    <w:rsid w:val="00EE3139"/>
    <w:rsid w:val="00EE5F9F"/>
    <w:rsid w:val="00EE74D2"/>
    <w:rsid w:val="00EE775F"/>
    <w:rsid w:val="00EF0162"/>
    <w:rsid w:val="00EF1150"/>
    <w:rsid w:val="00EF34A7"/>
    <w:rsid w:val="00EF4156"/>
    <w:rsid w:val="00F01D09"/>
    <w:rsid w:val="00F07B74"/>
    <w:rsid w:val="00F11EA2"/>
    <w:rsid w:val="00F12F7B"/>
    <w:rsid w:val="00F142CB"/>
    <w:rsid w:val="00F152F2"/>
    <w:rsid w:val="00F23C9B"/>
    <w:rsid w:val="00F24A39"/>
    <w:rsid w:val="00F26752"/>
    <w:rsid w:val="00F308C7"/>
    <w:rsid w:val="00F30E39"/>
    <w:rsid w:val="00F313FE"/>
    <w:rsid w:val="00F34D96"/>
    <w:rsid w:val="00F353CD"/>
    <w:rsid w:val="00F407D7"/>
    <w:rsid w:val="00F435B2"/>
    <w:rsid w:val="00F45645"/>
    <w:rsid w:val="00F4590F"/>
    <w:rsid w:val="00F476F5"/>
    <w:rsid w:val="00F50794"/>
    <w:rsid w:val="00F51125"/>
    <w:rsid w:val="00F526CF"/>
    <w:rsid w:val="00F52A59"/>
    <w:rsid w:val="00F5310C"/>
    <w:rsid w:val="00F5325C"/>
    <w:rsid w:val="00F53963"/>
    <w:rsid w:val="00F53CD3"/>
    <w:rsid w:val="00F5451E"/>
    <w:rsid w:val="00F568A8"/>
    <w:rsid w:val="00F5729E"/>
    <w:rsid w:val="00F678E4"/>
    <w:rsid w:val="00F712B8"/>
    <w:rsid w:val="00F7448D"/>
    <w:rsid w:val="00F76DEB"/>
    <w:rsid w:val="00F8121E"/>
    <w:rsid w:val="00F854C8"/>
    <w:rsid w:val="00F85AF5"/>
    <w:rsid w:val="00F85B13"/>
    <w:rsid w:val="00F90364"/>
    <w:rsid w:val="00F905DD"/>
    <w:rsid w:val="00F90BF6"/>
    <w:rsid w:val="00F916AF"/>
    <w:rsid w:val="00F9400E"/>
    <w:rsid w:val="00F94599"/>
    <w:rsid w:val="00FA2B76"/>
    <w:rsid w:val="00FA36BD"/>
    <w:rsid w:val="00FA6078"/>
    <w:rsid w:val="00FA7246"/>
    <w:rsid w:val="00FA7754"/>
    <w:rsid w:val="00FB2FA9"/>
    <w:rsid w:val="00FB3878"/>
    <w:rsid w:val="00FB7F35"/>
    <w:rsid w:val="00FC1403"/>
    <w:rsid w:val="00FC1920"/>
    <w:rsid w:val="00FC6C78"/>
    <w:rsid w:val="00FD094B"/>
    <w:rsid w:val="00FE0103"/>
    <w:rsid w:val="00FE64F7"/>
    <w:rsid w:val="00FE6945"/>
    <w:rsid w:val="00FF076E"/>
    <w:rsid w:val="00FF3FA4"/>
    <w:rsid w:val="00FF44D6"/>
    <w:rsid w:val="00FF4E2F"/>
    <w:rsid w:val="00FF5CFD"/>
    <w:rsid w:val="00FF6355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E4B3"/>
  <w15:chartTrackingRefBased/>
  <w15:docId w15:val="{B3E34C1C-9C6B-4693-8C3F-33FF9CE0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F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76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966D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47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7B5C"/>
  </w:style>
  <w:style w:type="paragraph" w:styleId="a9">
    <w:name w:val="footer"/>
    <w:basedOn w:val="a"/>
    <w:link w:val="aa"/>
    <w:uiPriority w:val="99"/>
    <w:unhideWhenUsed/>
    <w:rsid w:val="00747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7B5C"/>
  </w:style>
  <w:style w:type="paragraph" w:styleId="ab">
    <w:name w:val="footnote text"/>
    <w:basedOn w:val="a"/>
    <w:link w:val="ac"/>
    <w:uiPriority w:val="99"/>
    <w:unhideWhenUsed/>
    <w:rsid w:val="003012B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012B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012B8"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51DB3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D9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50D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966AEF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966AE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966AE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66AE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66AEF"/>
    <w:rPr>
      <w:b/>
      <w:bCs/>
      <w:sz w:val="20"/>
      <w:szCs w:val="20"/>
    </w:rPr>
  </w:style>
  <w:style w:type="paragraph" w:customStyle="1" w:styleId="ConsPlusNormal">
    <w:name w:val="ConsPlusNormal"/>
    <w:rsid w:val="00D45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highlight">
    <w:name w:val="highlight"/>
    <w:basedOn w:val="a0"/>
    <w:rsid w:val="003A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0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4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4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1739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5555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94368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452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54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7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06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7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2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9648">
                          <w:marLeft w:val="30"/>
                          <w:marRight w:val="3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38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1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5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3466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463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734652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0878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42D9C-136B-4401-BCB0-16E883D3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4385</Words>
  <Characters>24999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Tatyana Malykova</cp:lastModifiedBy>
  <cp:revision>2</cp:revision>
  <cp:lastPrinted>2020-02-10T11:20:00Z</cp:lastPrinted>
  <dcterms:created xsi:type="dcterms:W3CDTF">2020-03-19T09:23:00Z</dcterms:created>
  <dcterms:modified xsi:type="dcterms:W3CDTF">2020-03-19T09:23:00Z</dcterms:modified>
</cp:coreProperties>
</file>